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jc w:val="center"/>
        <w:rPr>
          <w:rFonts w:hint="eastAsia" w:ascii="宋体" w:hAnsi="宋体" w:eastAsia="宋体" w:cs="宋体"/>
          <w:b/>
          <w:bCs/>
          <w:kern w:val="0"/>
          <w:sz w:val="44"/>
          <w:szCs w:val="44"/>
          <w:lang w:eastAsia="zh-CN"/>
        </w:rPr>
      </w:pPr>
      <w:r>
        <w:rPr>
          <w:rFonts w:hint="eastAsia" w:ascii="宋体" w:hAnsi="宋体" w:eastAsia="宋体" w:cs="宋体"/>
          <w:b/>
          <w:bCs/>
          <w:kern w:val="0"/>
          <w:sz w:val="44"/>
          <w:szCs w:val="44"/>
          <w:lang w:eastAsia="zh-CN"/>
        </w:rPr>
        <w:t>一、部门职责登记表</w:t>
      </w:r>
    </w:p>
    <w:p>
      <w:pPr>
        <w:widowControl/>
        <w:jc w:val="left"/>
        <w:rPr>
          <w:rFonts w:hint="eastAsia" w:ascii="宋体" w:hAnsi="宋体" w:eastAsia="宋体" w:cs="宋体"/>
          <w:b w:val="0"/>
          <w:bCs w:val="0"/>
          <w:kern w:val="0"/>
          <w:sz w:val="22"/>
          <w:szCs w:val="22"/>
          <w:lang w:eastAsia="zh-CN"/>
        </w:rPr>
      </w:pPr>
      <w:r>
        <w:rPr>
          <w:rFonts w:hint="eastAsia" w:ascii="宋体" w:hAnsi="宋体" w:eastAsia="宋体" w:cs="宋体"/>
          <w:b w:val="0"/>
          <w:bCs w:val="0"/>
          <w:kern w:val="0"/>
          <w:sz w:val="22"/>
          <w:szCs w:val="22"/>
          <w:lang w:eastAsia="zh-CN"/>
        </w:rPr>
        <w:t>部门名称：沙河市卫生局</w:t>
      </w:r>
    </w:p>
    <w:tbl>
      <w:tblPr>
        <w:tblStyle w:val="14"/>
        <w:tblW w:w="1337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36"/>
        <w:gridCol w:w="3600"/>
        <w:gridCol w:w="5542"/>
        <w:gridCol w:w="1995"/>
        <w:gridCol w:w="14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0" w:hRule="atLeast"/>
          <w:tblHeader/>
        </w:trPr>
        <w:tc>
          <w:tcPr>
            <w:tcW w:w="836"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黑体" w:hAnsi="黑体" w:eastAsia="黑体" w:cs="黑体"/>
                <w:b w:val="0"/>
                <w:bCs w:val="0"/>
                <w:kern w:val="0"/>
                <w:sz w:val="28"/>
                <w:szCs w:val="28"/>
              </w:rPr>
            </w:pPr>
            <w:r>
              <w:rPr>
                <w:rFonts w:hint="eastAsia" w:ascii="黑体" w:hAnsi="黑体" w:eastAsia="黑体" w:cs="黑体"/>
                <w:b w:val="0"/>
                <w:bCs w:val="0"/>
                <w:kern w:val="0"/>
                <w:sz w:val="28"/>
                <w:szCs w:val="28"/>
              </w:rPr>
              <w:t>序号</w:t>
            </w:r>
          </w:p>
        </w:tc>
        <w:tc>
          <w:tcPr>
            <w:tcW w:w="36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b w:val="0"/>
                <w:bCs w:val="0"/>
                <w:kern w:val="0"/>
                <w:sz w:val="28"/>
                <w:szCs w:val="28"/>
              </w:rPr>
            </w:pPr>
            <w:r>
              <w:rPr>
                <w:rFonts w:hint="eastAsia" w:ascii="黑体" w:hAnsi="黑体" w:eastAsia="黑体" w:cs="黑体"/>
                <w:b w:val="0"/>
                <w:bCs w:val="0"/>
                <w:kern w:val="0"/>
                <w:sz w:val="28"/>
                <w:szCs w:val="28"/>
              </w:rPr>
              <w:t>主要职责</w:t>
            </w:r>
          </w:p>
        </w:tc>
        <w:tc>
          <w:tcPr>
            <w:tcW w:w="554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b w:val="0"/>
                <w:bCs w:val="0"/>
                <w:kern w:val="0"/>
                <w:sz w:val="28"/>
                <w:szCs w:val="28"/>
              </w:rPr>
            </w:pPr>
            <w:r>
              <w:rPr>
                <w:rFonts w:hint="eastAsia" w:ascii="黑体" w:hAnsi="黑体" w:eastAsia="黑体" w:cs="黑体"/>
                <w:b w:val="0"/>
                <w:bCs w:val="0"/>
                <w:kern w:val="0"/>
                <w:sz w:val="28"/>
                <w:szCs w:val="28"/>
              </w:rPr>
              <w:t>具体工作事项</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b w:val="0"/>
                <w:bCs w:val="0"/>
                <w:kern w:val="0"/>
                <w:sz w:val="28"/>
                <w:szCs w:val="28"/>
              </w:rPr>
            </w:pPr>
            <w:r>
              <w:rPr>
                <w:rFonts w:hint="eastAsia" w:ascii="黑体" w:hAnsi="黑体" w:eastAsia="黑体" w:cs="黑体"/>
                <w:b w:val="0"/>
                <w:bCs w:val="0"/>
                <w:kern w:val="0"/>
                <w:sz w:val="28"/>
                <w:szCs w:val="28"/>
              </w:rPr>
              <w:t>责任科室　　　　　　</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b w:val="0"/>
                <w:bCs w:val="0"/>
                <w:kern w:val="0"/>
                <w:sz w:val="28"/>
                <w:szCs w:val="28"/>
              </w:rPr>
            </w:pPr>
            <w:r>
              <w:rPr>
                <w:rFonts w:hint="eastAsia" w:ascii="黑体" w:hAnsi="黑体" w:eastAsia="黑体" w:cs="黑体"/>
                <w:b w:val="0"/>
                <w:bCs w:val="0"/>
                <w:kern w:val="0"/>
                <w:sz w:val="28"/>
                <w:szCs w:val="28"/>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94" w:hRule="atLeast"/>
        </w:trPr>
        <w:tc>
          <w:tcPr>
            <w:tcW w:w="83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1</w:t>
            </w:r>
          </w:p>
        </w:tc>
        <w:tc>
          <w:tcPr>
            <w:tcW w:w="3600"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贯彻执行国家和省、市有关卫生工作的方针、政策和法律、法规，研究拟订全县卫生工作的改革措施和管理办法，经市政府批准后组织实施。</w:t>
            </w: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贯彻执行国家、省、市有关卫生工作的法律法规和方针政策，推进全市医药卫生体制改革。</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医政股</w:t>
            </w:r>
          </w:p>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8906298</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c>
          <w:tcPr>
            <w:tcW w:w="36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拟定全市卫生工作的改革措施和管理办法并组织实施。</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医政股</w:t>
            </w:r>
          </w:p>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8906298</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7"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c>
          <w:tcPr>
            <w:tcW w:w="36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拟订全市医疗卫生信息化建设规划并组织实施。</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人事股</w:t>
            </w:r>
          </w:p>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8900121</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74"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c>
          <w:tcPr>
            <w:tcW w:w="36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制定年度卫生工作意见，落实卫生事业发展有关政策、措施。</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人事股</w:t>
            </w:r>
          </w:p>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8900121</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16" w:hRule="atLeast"/>
        </w:trPr>
        <w:tc>
          <w:tcPr>
            <w:tcW w:w="83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2</w:t>
            </w:r>
          </w:p>
        </w:tc>
        <w:tc>
          <w:tcPr>
            <w:tcW w:w="360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推进医药卫生体制改革，研究提出全市卫生事业发展总体规划和战略目标并组织实施。</w:t>
            </w: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组织实施医药卫生体制改革，制订全市卫生事业发展规划。</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人事股</w:t>
            </w:r>
          </w:p>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8900121</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1" w:hRule="atLeast"/>
        </w:trPr>
        <w:tc>
          <w:tcPr>
            <w:tcW w:w="83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3</w:t>
            </w:r>
          </w:p>
        </w:tc>
        <w:tc>
          <w:tcPr>
            <w:tcW w:w="3600" w:type="dxa"/>
            <w:vMerge w:val="restart"/>
            <w:tcBorders>
              <w:top w:val="single" w:color="auto" w:sz="4" w:space="0"/>
              <w:left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负责组织实施药品法典、国家基本药物制度。负责落实基本药物的采购、配送、使用的政策规定，会同有关部门落实基本药物目录内药品生产的鼓励扶持政策和基本药物价格政策。</w:t>
            </w: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拟订本市基本药物制度实施意见，牵头组织实施国家基本药物制度。</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医政股</w:t>
            </w:r>
          </w:p>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8906298</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c>
          <w:tcPr>
            <w:tcW w:w="3600" w:type="dxa"/>
            <w:vMerge w:val="continue"/>
            <w:tcBorders>
              <w:left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负责落实基本药物的采购、配送、使用的政策规定。</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医政股</w:t>
            </w:r>
          </w:p>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8906298</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4"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c>
          <w:tcPr>
            <w:tcW w:w="3600" w:type="dxa"/>
            <w:vMerge w:val="continue"/>
            <w:tcBorders>
              <w:left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负责基本药物制度的培训指导、监督检查、考核评。</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医政股</w:t>
            </w:r>
          </w:p>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8906298</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c>
          <w:tcPr>
            <w:tcW w:w="3600"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会同有关部门落实基本药物目录内药品价格政策。</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医政股</w:t>
            </w:r>
          </w:p>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8906298</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59" w:hRule="atLeast"/>
        </w:trPr>
        <w:tc>
          <w:tcPr>
            <w:tcW w:w="83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4</w:t>
            </w:r>
          </w:p>
        </w:tc>
        <w:tc>
          <w:tcPr>
            <w:tcW w:w="3600" w:type="dxa"/>
            <w:vMerge w:val="restart"/>
            <w:tcBorders>
              <w:top w:val="single" w:color="auto" w:sz="4" w:space="0"/>
              <w:left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承担食品安全综合协调、组织查处食品安全重大事故的责任。依法负责食品及相关产品的安全风险评估、预警有关工作。依法指导食品安全检验工作。</w:t>
            </w: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综合协调、组织查处食品安全重大事故的责任。</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防疫保健股8905375</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9"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c>
          <w:tcPr>
            <w:tcW w:w="3600"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依法制定食品及相关产品的安全风险评估报告，依法指导食品安全检验。</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防疫保健股8905375</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59" w:hRule="atLeast"/>
        </w:trPr>
        <w:tc>
          <w:tcPr>
            <w:tcW w:w="836" w:type="dxa"/>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5</w:t>
            </w:r>
          </w:p>
        </w:tc>
        <w:tc>
          <w:tcPr>
            <w:tcW w:w="3600" w:type="dxa"/>
            <w:tcBorders>
              <w:top w:val="single" w:color="auto" w:sz="4" w:space="0"/>
              <w:left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统筹规划与协调全市卫生资源配置，指导区域卫生规划编制和实施。</w:t>
            </w: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统筹规划与协调全市卫生资源，指导区域卫生规划的编制和实施。</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人事股</w:t>
            </w:r>
          </w:p>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8900121</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74" w:hRule="atLeast"/>
        </w:trPr>
        <w:tc>
          <w:tcPr>
            <w:tcW w:w="836"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6</w:t>
            </w:r>
          </w:p>
        </w:tc>
        <w:tc>
          <w:tcPr>
            <w:tcW w:w="3600"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组织制订并实施农村卫生发展规划和政策措施，负责新型农村合作医疗的综合管理。</w:t>
            </w: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制订农村卫生发展规划和政策措施并组织实施</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防疫保健股8905375</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57" w:hRule="atLeast"/>
        </w:trPr>
        <w:tc>
          <w:tcPr>
            <w:tcW w:w="836"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c>
          <w:tcPr>
            <w:tcW w:w="36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负责新型农村合作医疗的综合管理</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防疫保健股8905375</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51" w:hRule="atLeast"/>
        </w:trPr>
        <w:tc>
          <w:tcPr>
            <w:tcW w:w="83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7</w:t>
            </w:r>
          </w:p>
        </w:tc>
        <w:tc>
          <w:tcPr>
            <w:tcW w:w="3600" w:type="dxa"/>
            <w:vMerge w:val="restart"/>
            <w:tcBorders>
              <w:top w:val="single" w:color="auto" w:sz="4" w:space="0"/>
              <w:left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制订社区卫生、妇幼卫生发展规划和政策措施，规划并指导社区卫生服务体系建设，负责妇幼保健的综合管理和监督。</w:t>
            </w: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制订社区卫生、妇幼卫生发展规划和政策措施，规划并指导社区卫生服务体系建设，</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医政股</w:t>
            </w:r>
          </w:p>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8906298</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6"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c>
          <w:tcPr>
            <w:tcW w:w="3600"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监督管理妇幼保健工作。</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防疫保健股 8905375</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50" w:hRule="atLeast"/>
        </w:trPr>
        <w:tc>
          <w:tcPr>
            <w:tcW w:w="83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w:t>
            </w:r>
          </w:p>
        </w:tc>
        <w:tc>
          <w:tcPr>
            <w:tcW w:w="3600" w:type="dxa"/>
            <w:vMerge w:val="restart"/>
            <w:tcBorders>
              <w:top w:val="single" w:color="auto" w:sz="4" w:space="0"/>
              <w:left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负责疾病预防控制工作，制订实施重大疾病防治规划与策略，制定全市免疫规划及政策措施并组织实施，协调有关部门对重大疾病实施防控与干预，负责反馈法定报告传染病疫情信息。</w:t>
            </w:r>
          </w:p>
        </w:tc>
        <w:tc>
          <w:tcPr>
            <w:tcW w:w="554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拟订实施重大传染病防治规划与策略，贯彻国家免疫规划与政策，协调有关部门对重大传染病实施防控和干预，落实法定传染病报告及信息发布等。</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防疫保健股8905375</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2"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c>
          <w:tcPr>
            <w:tcW w:w="3600" w:type="dxa"/>
            <w:vMerge w:val="continue"/>
            <w:tcBorders>
              <w:left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建立完善重点地方病防治监测体系，落实防控措施，监控病情动态，评价预防干预措施的实施效果。</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防疫保健股8905375</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59"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c>
          <w:tcPr>
            <w:tcW w:w="3600" w:type="dxa"/>
            <w:vMerge w:val="continue"/>
            <w:tcBorders>
              <w:left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制定慢性病防控规划和工作计划并组织实施，建立完善慢性病防控网络和联防联控工作机制，组织开展慢性病防控效果评价考核。</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防疫保健股8905375</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56"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c>
          <w:tcPr>
            <w:tcW w:w="3600" w:type="dxa"/>
            <w:tcBorders>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制定精神病防治工作计划，建立完善精神病防治网络，落实重性精神病患者社区管理措施，负责区域内重性精神病人管理质量控制，开展工作督导及考核评价。</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防疫保健股8905375</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76" w:hRule="atLeast"/>
        </w:trPr>
        <w:tc>
          <w:tcPr>
            <w:tcW w:w="83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9</w:t>
            </w:r>
          </w:p>
        </w:tc>
        <w:tc>
          <w:tcPr>
            <w:tcW w:w="3600" w:type="dxa"/>
            <w:vMerge w:val="restart"/>
            <w:tcBorders>
              <w:top w:val="single" w:color="auto" w:sz="4" w:space="0"/>
              <w:left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负责卫生应急工作，制定卫生应急预案和政策措施，负责突发公共卫生事件监测预警和风险评估，负责组织实施突发公共卫生事件预防控制与应急处置。</w:t>
            </w:r>
          </w:p>
        </w:tc>
        <w:tc>
          <w:tcPr>
            <w:tcW w:w="554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承担卫生应急工作，拟订卫生应急相关预案和与政策措施，负责突发公共卫生事件监测预警和风险评估。</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防疫保健股8905375</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38"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c>
          <w:tcPr>
            <w:tcW w:w="3600" w:type="dxa"/>
            <w:vMerge w:val="continue"/>
            <w:tcBorders>
              <w:left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指导实施突发公共卫生事件预防控制与应急处置，发布突发公共卫生事件应急处置信息工作.</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防疫保健股8905375</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77"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c>
          <w:tcPr>
            <w:tcW w:w="3600"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负责突发事件应急医疗救治的组织与协调，完善突发事件应急医疗救治体系，落实重大灾情、疫情、中毒等突发事件的应急医疗救援措施。</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防疫保健股8905375</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91" w:hRule="atLeast"/>
        </w:trPr>
        <w:tc>
          <w:tcPr>
            <w:tcW w:w="83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10</w:t>
            </w:r>
          </w:p>
        </w:tc>
        <w:tc>
          <w:tcPr>
            <w:tcW w:w="3600" w:type="dxa"/>
            <w:vMerge w:val="restart"/>
            <w:tcBorders>
              <w:top w:val="single" w:color="auto" w:sz="4" w:space="0"/>
              <w:left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会同有关部门起草促进中医药事业发展的政策和办法，制订中医药中长期发展规划，并纳入卫生事业总体规划和发展目标。</w:t>
            </w: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拟订全市中医药事业总体规划、加快中医药事业发展意见并贯彻落实。</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医政股</w:t>
            </w:r>
          </w:p>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8906298</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8"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c>
          <w:tcPr>
            <w:tcW w:w="3600"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组织实施基层中医药服务能力提升工程、中医名医名院工程，贯彻中西医并重方针，继承、创新、发展中医药事业。</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医政股</w:t>
            </w:r>
          </w:p>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8906298</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9" w:hRule="atLeast"/>
        </w:trPr>
        <w:tc>
          <w:tcPr>
            <w:tcW w:w="83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11</w:t>
            </w:r>
          </w:p>
        </w:tc>
        <w:tc>
          <w:tcPr>
            <w:tcW w:w="3600" w:type="dxa"/>
            <w:vMerge w:val="restart"/>
            <w:tcBorders>
              <w:top w:val="single" w:color="auto" w:sz="4" w:space="0"/>
              <w:left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监督、指导、规范卫生行政执法工作，按照职责分工负责职业卫生、放射卫生、环境卫生和学校卫生的监督管理，负责公共场所和饮用水的卫生安全监督管理，负责传染病防治监督。</w:t>
            </w:r>
          </w:p>
        </w:tc>
        <w:tc>
          <w:tcPr>
            <w:tcW w:w="554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开展法律法规规定的公共场所、学校卫生、生活饮用水、放射卫生等日常监督管理工作。</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防疫保健股8905375</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94"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c>
          <w:tcPr>
            <w:tcW w:w="3600" w:type="dxa"/>
            <w:vMerge w:val="continue"/>
            <w:tcBorders>
              <w:left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开展卫生监督执法工作，对违反卫生法律法规的行为采取行政处罚、行政强制、行政控制等措施。</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防疫保健股8905375</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c>
          <w:tcPr>
            <w:tcW w:w="3600"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组织协调卫生监督相关投诉举报事件的调查处置。</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防疫保健股8905375</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23" w:hRule="atLeast"/>
        </w:trPr>
        <w:tc>
          <w:tcPr>
            <w:tcW w:w="836"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kern w:val="0"/>
                <w:sz w:val="22"/>
                <w:szCs w:val="22"/>
              </w:rPr>
            </w:pPr>
            <w:r>
              <w:rPr>
                <w:rFonts w:hint="eastAsia" w:ascii="宋体" w:hAnsi="宋体" w:eastAsia="宋体" w:cs="宋体"/>
                <w:kern w:val="0"/>
                <w:sz w:val="22"/>
                <w:szCs w:val="22"/>
              </w:rPr>
              <w:t>12</w:t>
            </w:r>
          </w:p>
        </w:tc>
        <w:tc>
          <w:tcPr>
            <w:tcW w:w="360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kern w:val="0"/>
                <w:sz w:val="22"/>
                <w:szCs w:val="22"/>
              </w:rPr>
            </w:pPr>
            <w:r>
              <w:rPr>
                <w:rFonts w:hint="eastAsia" w:ascii="宋体" w:hAnsi="宋体" w:eastAsia="宋体" w:cs="宋体"/>
                <w:kern w:val="0"/>
                <w:sz w:val="22"/>
                <w:szCs w:val="22"/>
              </w:rPr>
              <w:t>推进公立医院改革，组织建立规范的公立医院管理体制和运行机制并监督实施；负责医疗机构医疗服务的全行业监督管理，制定医疗机构医疗服务、技术、医疗质量和采供血机构管理的政策、规范，落实相关标准；组织制订医疗卫生职业道德规范并监督实施，建立医疗机构服务评估和监督体系。</w:t>
            </w:r>
          </w:p>
        </w:tc>
        <w:tc>
          <w:tcPr>
            <w:tcW w:w="554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制订公立医院改革实施方案，组织建立规范的公立医院管理体制和运行机制并监督实施。</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办公室（爱卫办）</w:t>
            </w:r>
          </w:p>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8901375</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6" w:hRule="atLeast"/>
        </w:trPr>
        <w:tc>
          <w:tcPr>
            <w:tcW w:w="836" w:type="dxa"/>
            <w:vMerge w:val="continue"/>
            <w:tcBorders>
              <w:left w:val="single" w:color="auto" w:sz="4" w:space="0"/>
              <w:right w:val="single" w:color="auto" w:sz="4" w:space="0"/>
            </w:tcBorders>
            <w:vAlign w:val="center"/>
          </w:tcPr>
          <w:p>
            <w:pPr>
              <w:jc w:val="center"/>
              <w:rPr>
                <w:rFonts w:hint="eastAsia" w:ascii="宋体" w:hAnsi="宋体" w:eastAsia="宋体" w:cs="宋体"/>
                <w:kern w:val="0"/>
                <w:sz w:val="22"/>
                <w:szCs w:val="22"/>
              </w:rPr>
            </w:pPr>
          </w:p>
        </w:tc>
        <w:tc>
          <w:tcPr>
            <w:tcW w:w="3600" w:type="dxa"/>
            <w:vMerge w:val="continue"/>
            <w:tcBorders>
              <w:left w:val="single" w:color="auto" w:sz="4" w:space="0"/>
              <w:right w:val="single" w:color="auto" w:sz="4" w:space="0"/>
            </w:tcBorders>
            <w:vAlign w:val="center"/>
          </w:tcPr>
          <w:p>
            <w:pPr>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制订医疗机构医疗服务、技术、医疗质量政策，落实相关标准。</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医政股</w:t>
            </w:r>
          </w:p>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8906298</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69" w:hRule="atLeast"/>
        </w:trPr>
        <w:tc>
          <w:tcPr>
            <w:tcW w:w="836" w:type="dxa"/>
            <w:vMerge w:val="continue"/>
            <w:tcBorders>
              <w:left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c>
          <w:tcPr>
            <w:tcW w:w="3600" w:type="dxa"/>
            <w:vMerge w:val="continue"/>
            <w:tcBorders>
              <w:left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负责对医疗机构进行监督，建立医疗机构服务评价和监管体系，加强卫生行业监管。</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xml:space="preserve">医政股 </w:t>
            </w:r>
          </w:p>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8906298</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17" w:hRule="atLeast"/>
        </w:trPr>
        <w:tc>
          <w:tcPr>
            <w:tcW w:w="836" w:type="dxa"/>
            <w:vMerge w:val="continue"/>
            <w:tcBorders>
              <w:left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c>
          <w:tcPr>
            <w:tcW w:w="3600" w:type="dxa"/>
            <w:vMerge w:val="continue"/>
            <w:tcBorders>
              <w:left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开展医疗机构执业人员规范执业监督管理，负责医疗机构执业人员资格审核、认定、注册和换证等工作。</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xml:space="preserve">医政股 </w:t>
            </w:r>
          </w:p>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8906298</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29" w:hRule="atLeast"/>
        </w:trPr>
        <w:tc>
          <w:tcPr>
            <w:tcW w:w="836"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c>
          <w:tcPr>
            <w:tcW w:w="3600"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组织制定医疗卫生职业道德规范并监督实施，建立医疗机构服务评估和监督体系。</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xml:space="preserve">医政股 </w:t>
            </w:r>
          </w:p>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8906298</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39" w:hRule="atLeast"/>
        </w:trPr>
        <w:tc>
          <w:tcPr>
            <w:tcW w:w="83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 w:val="22"/>
                <w:szCs w:val="22"/>
              </w:rPr>
            </w:pPr>
            <w:r>
              <w:rPr>
                <w:rFonts w:hint="eastAsia" w:ascii="宋体" w:hAnsi="宋体" w:eastAsia="宋体" w:cs="宋体"/>
                <w:kern w:val="0"/>
                <w:sz w:val="22"/>
                <w:szCs w:val="22"/>
              </w:rPr>
              <w:t>13</w:t>
            </w:r>
          </w:p>
        </w:tc>
        <w:tc>
          <w:tcPr>
            <w:tcW w:w="3600" w:type="dxa"/>
            <w:vMerge w:val="restart"/>
            <w:tcBorders>
              <w:top w:val="single" w:color="auto" w:sz="4" w:space="0"/>
              <w:left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指导卫生人才队伍建设工作，组织制定全市卫生人才发展规划，会同有关部门组织实施卫生专业技术人员资格标准。</w:t>
            </w:r>
          </w:p>
        </w:tc>
        <w:tc>
          <w:tcPr>
            <w:tcW w:w="554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组织制定全县卫生人才发展规划。</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xml:space="preserve">人事股 </w:t>
            </w:r>
          </w:p>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8900121</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94"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 w:val="22"/>
                <w:szCs w:val="22"/>
              </w:rPr>
            </w:pPr>
          </w:p>
        </w:tc>
        <w:tc>
          <w:tcPr>
            <w:tcW w:w="3600" w:type="dxa"/>
            <w:vMerge w:val="continue"/>
            <w:tcBorders>
              <w:left w:val="single" w:color="auto" w:sz="4" w:space="0"/>
              <w:right w:val="single" w:color="auto" w:sz="4" w:space="0"/>
            </w:tcBorders>
            <w:vAlign w:val="center"/>
          </w:tcPr>
          <w:p>
            <w:pPr>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指导卫生人才队伍建设工作。</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xml:space="preserve">人事股 </w:t>
            </w:r>
          </w:p>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8900121</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4"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p>
        </w:tc>
        <w:tc>
          <w:tcPr>
            <w:tcW w:w="3600"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kern w:val="0"/>
                <w:sz w:val="22"/>
                <w:szCs w:val="22"/>
              </w:rPr>
            </w:pPr>
            <w:r>
              <w:rPr>
                <w:rFonts w:hint="eastAsia" w:ascii="宋体" w:hAnsi="宋体" w:eastAsia="宋体" w:cs="宋体"/>
                <w:kern w:val="0"/>
                <w:sz w:val="22"/>
                <w:szCs w:val="22"/>
              </w:rPr>
              <w:t>组织实施卫生专业技术人员资格标准。</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xml:space="preserve">医政股 </w:t>
            </w:r>
          </w:p>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8906298</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836"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14</w:t>
            </w:r>
          </w:p>
        </w:tc>
        <w:tc>
          <w:tcPr>
            <w:tcW w:w="3600" w:type="dxa"/>
            <w:vMerge w:val="restart"/>
            <w:tcBorders>
              <w:top w:val="single" w:color="auto" w:sz="4" w:space="0"/>
              <w:left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负责全市艾滋病防治、地方病、职业病的防治工作</w:t>
            </w:r>
          </w:p>
        </w:tc>
        <w:tc>
          <w:tcPr>
            <w:tcW w:w="554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承担全市防治艾滋病工作。</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防疫保健股8905375</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3600"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承担全市地方病的具体工作。</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防疫保健股8905375</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59" w:hRule="atLeast"/>
        </w:trPr>
        <w:tc>
          <w:tcPr>
            <w:tcW w:w="836"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15</w:t>
            </w:r>
          </w:p>
        </w:tc>
        <w:tc>
          <w:tcPr>
            <w:tcW w:w="3600"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承担市爱国卫生运动委员会的具体工作。</w:t>
            </w:r>
          </w:p>
        </w:tc>
        <w:tc>
          <w:tcPr>
            <w:tcW w:w="554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组织开展创建国家级卫生城</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办公室（爱卫办）</w:t>
            </w:r>
          </w:p>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8901795</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9"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36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组织开展爱国卫生工作监督检查工作。</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办公室（爱卫办）</w:t>
            </w:r>
          </w:p>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8901795</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9"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36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组织开展除“四害”、爱国卫生月、控烟等爱国卫生工作。</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办公室（爱卫办）</w:t>
            </w:r>
          </w:p>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8901795</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4" w:hRule="atLeast"/>
        </w:trPr>
        <w:tc>
          <w:tcPr>
            <w:tcW w:w="83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36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554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做好农村改厕技术指导、培训工作。</w:t>
            </w: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办公室（爱卫办）</w:t>
            </w:r>
          </w:p>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8901795</w:t>
            </w: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4" w:hRule="atLeast"/>
        </w:trPr>
        <w:tc>
          <w:tcPr>
            <w:tcW w:w="836"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16</w:t>
            </w:r>
          </w:p>
        </w:tc>
        <w:tc>
          <w:tcPr>
            <w:tcW w:w="360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承办市政府交办的其他事项</w:t>
            </w:r>
          </w:p>
        </w:tc>
        <w:tc>
          <w:tcPr>
            <w:tcW w:w="554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9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40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r>
    </w:tbl>
    <w:p>
      <w:pPr>
        <w:rPr>
          <w:rFonts w:ascii="仿宋_GB2312" w:hAnsi="宋体" w:eastAsia="仿宋_GB2312"/>
          <w:sz w:val="28"/>
          <w:szCs w:val="28"/>
        </w:rPr>
      </w:pPr>
    </w:p>
    <w:p>
      <w:pPr>
        <w:rPr>
          <w:rFonts w:hint="eastAsia" w:ascii="宋体" w:eastAsia="宋体"/>
          <w:sz w:val="20"/>
          <w:szCs w:val="20"/>
          <w:lang w:eastAsia="zh-CN"/>
        </w:rPr>
      </w:pPr>
    </w:p>
    <w:tbl>
      <w:tblPr>
        <w:tblStyle w:val="14"/>
        <w:tblpPr w:leftFromText="180" w:rightFromText="180" w:vertAnchor="text" w:horzAnchor="page" w:tblpXSpec="center" w:tblpY="-48"/>
        <w:tblOverlap w:val="never"/>
        <w:tblW w:w="13245" w:type="dxa"/>
        <w:jc w:val="center"/>
        <w:tblInd w:w="21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25"/>
        <w:gridCol w:w="1560"/>
        <w:gridCol w:w="525"/>
        <w:gridCol w:w="1050"/>
        <w:gridCol w:w="390"/>
        <w:gridCol w:w="3596"/>
        <w:gridCol w:w="619"/>
        <w:gridCol w:w="870"/>
        <w:gridCol w:w="1080"/>
        <w:gridCol w:w="1110"/>
        <w:gridCol w:w="16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4" w:hRule="atLeast"/>
          <w:jc w:val="center"/>
        </w:trPr>
        <w:tc>
          <w:tcPr>
            <w:tcW w:w="13245" w:type="dxa"/>
            <w:gridSpan w:val="11"/>
            <w:vAlign w:val="bottom"/>
          </w:tcPr>
          <w:p>
            <w:pPr>
              <w:widowControl/>
              <w:rPr>
                <w:rFonts w:ascii="仿宋_GB2312" w:hAnsi="仿宋_GB2312" w:eastAsia="仿宋_GB2312" w:cs="仿宋_GB2312"/>
                <w:kern w:val="0"/>
                <w:sz w:val="20"/>
                <w:szCs w:val="20"/>
              </w:rPr>
            </w:pPr>
          </w:p>
          <w:p>
            <w:pPr>
              <w:widowControl/>
              <w:jc w:val="center"/>
              <w:rPr>
                <w:rFonts w:ascii="仿宋_GB2312" w:hAnsi="仿宋_GB2312" w:eastAsia="仿宋_GB2312" w:cs="仿宋_GB2312"/>
                <w:b/>
                <w:kern w:val="0"/>
                <w:sz w:val="20"/>
                <w:szCs w:val="20"/>
              </w:rPr>
            </w:pPr>
            <w:r>
              <w:rPr>
                <w:rFonts w:hint="eastAsia" w:ascii="宋体" w:hAnsi="宋体" w:eastAsia="宋体" w:cs="宋体"/>
                <w:b/>
                <w:kern w:val="0"/>
                <w:sz w:val="44"/>
                <w:szCs w:val="44"/>
                <w:lang w:eastAsia="zh-CN"/>
              </w:rPr>
              <w:t>二、</w:t>
            </w:r>
            <w:r>
              <w:rPr>
                <w:rFonts w:hint="eastAsia" w:ascii="宋体" w:hAnsi="宋体" w:eastAsia="宋体" w:cs="宋体"/>
                <w:b/>
                <w:kern w:val="0"/>
                <w:sz w:val="44"/>
                <w:szCs w:val="44"/>
              </w:rPr>
              <w:t>与相关部门的职责边界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5"/>
          <w:wAfter w:w="5299" w:type="dxa"/>
          <w:trHeight w:val="543" w:hRule="atLeast"/>
          <w:jc w:val="center"/>
        </w:trPr>
        <w:tc>
          <w:tcPr>
            <w:tcW w:w="7946" w:type="dxa"/>
            <w:gridSpan w:val="6"/>
            <w:vAlign w:val="bottom"/>
          </w:tcPr>
          <w:p>
            <w:pPr>
              <w:widowControl/>
              <w:jc w:val="left"/>
              <w:rPr>
                <w:rFonts w:ascii="仿宋_GB2312" w:hAnsi="仿宋_GB2312" w:eastAsia="仿宋_GB2312" w:cs="仿宋_GB2312"/>
                <w:kern w:val="0"/>
                <w:sz w:val="20"/>
                <w:szCs w:val="20"/>
              </w:rPr>
            </w:pPr>
            <w:r>
              <w:rPr>
                <w:rFonts w:hint="eastAsia" w:ascii="宋体" w:hAnsi="宋体" w:eastAsia="宋体" w:cs="宋体"/>
                <w:kern w:val="0"/>
                <w:sz w:val="22"/>
                <w:szCs w:val="22"/>
              </w:rPr>
              <w:t>部门名称：沙河市卫生局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blHeader/>
          <w:jc w:val="center"/>
        </w:trPr>
        <w:tc>
          <w:tcPr>
            <w:tcW w:w="82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b w:val="0"/>
                <w:bCs w:val="0"/>
                <w:kern w:val="0"/>
                <w:sz w:val="28"/>
                <w:szCs w:val="28"/>
              </w:rPr>
            </w:pPr>
            <w:r>
              <w:rPr>
                <w:rFonts w:hint="eastAsia" w:ascii="黑体" w:hAnsi="黑体" w:eastAsia="黑体" w:cs="黑体"/>
                <w:b w:val="0"/>
                <w:bCs w:val="0"/>
                <w:kern w:val="0"/>
                <w:sz w:val="28"/>
                <w:szCs w:val="28"/>
              </w:rPr>
              <w:t>序号</w:t>
            </w:r>
          </w:p>
        </w:tc>
        <w:tc>
          <w:tcPr>
            <w:tcW w:w="1560" w:type="dxa"/>
            <w:tcBorders>
              <w:top w:val="single" w:color="auto" w:sz="4" w:space="0"/>
              <w:left w:val="nil"/>
              <w:bottom w:val="single" w:color="auto" w:sz="4" w:space="0"/>
              <w:right w:val="single" w:color="auto" w:sz="4" w:space="0"/>
            </w:tcBorders>
            <w:vAlign w:val="center"/>
          </w:tcPr>
          <w:p>
            <w:pPr>
              <w:widowControl/>
              <w:jc w:val="center"/>
              <w:rPr>
                <w:rFonts w:hint="eastAsia" w:ascii="黑体" w:hAnsi="黑体" w:eastAsia="黑体" w:cs="黑体"/>
                <w:b w:val="0"/>
                <w:bCs w:val="0"/>
                <w:kern w:val="0"/>
                <w:sz w:val="28"/>
                <w:szCs w:val="28"/>
              </w:rPr>
            </w:pPr>
            <w:r>
              <w:rPr>
                <w:rFonts w:hint="eastAsia" w:ascii="黑体" w:hAnsi="黑体" w:eastAsia="黑体" w:cs="黑体"/>
                <w:b w:val="0"/>
                <w:bCs w:val="0"/>
                <w:kern w:val="0"/>
                <w:sz w:val="28"/>
                <w:szCs w:val="28"/>
              </w:rPr>
              <w:t>管理事项</w:t>
            </w:r>
          </w:p>
        </w:tc>
        <w:tc>
          <w:tcPr>
            <w:tcW w:w="1575"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黑体" w:hAnsi="黑体" w:eastAsia="黑体" w:cs="黑体"/>
                <w:b w:val="0"/>
                <w:bCs w:val="0"/>
                <w:kern w:val="0"/>
                <w:sz w:val="28"/>
                <w:szCs w:val="28"/>
              </w:rPr>
            </w:pPr>
            <w:r>
              <w:rPr>
                <w:rFonts w:hint="eastAsia" w:ascii="黑体" w:hAnsi="黑体" w:eastAsia="黑体" w:cs="黑体"/>
                <w:b w:val="0"/>
                <w:bCs w:val="0"/>
                <w:kern w:val="0"/>
                <w:sz w:val="28"/>
                <w:szCs w:val="28"/>
              </w:rPr>
              <w:t>相关部门</w:t>
            </w:r>
          </w:p>
        </w:tc>
        <w:tc>
          <w:tcPr>
            <w:tcW w:w="4605" w:type="dxa"/>
            <w:gridSpan w:val="3"/>
            <w:tcBorders>
              <w:top w:val="single" w:color="auto" w:sz="4" w:space="0"/>
              <w:left w:val="nil"/>
              <w:bottom w:val="single" w:color="auto" w:sz="4" w:space="0"/>
              <w:right w:val="single" w:color="auto" w:sz="4" w:space="0"/>
            </w:tcBorders>
            <w:vAlign w:val="center"/>
          </w:tcPr>
          <w:p>
            <w:pPr>
              <w:widowControl/>
              <w:jc w:val="center"/>
              <w:rPr>
                <w:rFonts w:hint="eastAsia" w:ascii="黑体" w:hAnsi="黑体" w:eastAsia="黑体" w:cs="黑体"/>
                <w:b w:val="0"/>
                <w:bCs w:val="0"/>
                <w:kern w:val="0"/>
                <w:sz w:val="28"/>
                <w:szCs w:val="28"/>
              </w:rPr>
            </w:pPr>
            <w:r>
              <w:rPr>
                <w:rFonts w:hint="eastAsia" w:ascii="黑体" w:hAnsi="黑体" w:eastAsia="黑体" w:cs="黑体"/>
                <w:b w:val="0"/>
                <w:bCs w:val="0"/>
                <w:kern w:val="0"/>
                <w:sz w:val="28"/>
                <w:szCs w:val="28"/>
              </w:rPr>
              <w:t>职责分工</w:t>
            </w:r>
          </w:p>
        </w:tc>
        <w:tc>
          <w:tcPr>
            <w:tcW w:w="1950"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黑体" w:hAnsi="黑体" w:eastAsia="黑体" w:cs="黑体"/>
                <w:b w:val="0"/>
                <w:bCs w:val="0"/>
                <w:kern w:val="0"/>
                <w:sz w:val="28"/>
                <w:szCs w:val="28"/>
              </w:rPr>
            </w:pPr>
            <w:r>
              <w:rPr>
                <w:rFonts w:hint="eastAsia" w:ascii="黑体" w:hAnsi="黑体" w:eastAsia="黑体" w:cs="黑体"/>
                <w:b w:val="0"/>
                <w:bCs w:val="0"/>
                <w:kern w:val="0"/>
                <w:sz w:val="28"/>
                <w:szCs w:val="28"/>
              </w:rPr>
              <w:t>相关依据</w:t>
            </w:r>
          </w:p>
        </w:tc>
        <w:tc>
          <w:tcPr>
            <w:tcW w:w="2730"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黑体" w:hAnsi="黑体" w:eastAsia="黑体" w:cs="黑体"/>
                <w:b w:val="0"/>
                <w:bCs w:val="0"/>
                <w:kern w:val="0"/>
                <w:sz w:val="28"/>
                <w:szCs w:val="28"/>
              </w:rPr>
            </w:pPr>
            <w:r>
              <w:rPr>
                <w:rFonts w:hint="eastAsia" w:ascii="黑体" w:hAnsi="黑体" w:eastAsia="黑体" w:cs="黑体"/>
                <w:b w:val="0"/>
                <w:bCs w:val="0"/>
                <w:kern w:val="0"/>
                <w:sz w:val="28"/>
                <w:szCs w:val="28"/>
              </w:rPr>
              <w:t>案例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11" w:hRule="atLeast"/>
          <w:jc w:val="center"/>
        </w:trPr>
        <w:tc>
          <w:tcPr>
            <w:tcW w:w="82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1</w:t>
            </w:r>
          </w:p>
        </w:tc>
        <w:tc>
          <w:tcPr>
            <w:tcW w:w="1560"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食品安全监管</w:t>
            </w:r>
          </w:p>
        </w:tc>
        <w:tc>
          <w:tcPr>
            <w:tcW w:w="1575"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卫生局</w:t>
            </w:r>
          </w:p>
        </w:tc>
        <w:tc>
          <w:tcPr>
            <w:tcW w:w="4605" w:type="dxa"/>
            <w:gridSpan w:val="3"/>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牵头建立食品安全综合协调机制，负责食品安全综合监督。承担食品安全综合协调、组织查处食品安全重大事故的责任。</w:t>
            </w:r>
          </w:p>
        </w:tc>
        <w:tc>
          <w:tcPr>
            <w:tcW w:w="1950" w:type="dxa"/>
            <w:gridSpan w:val="2"/>
            <w:vMerge w:val="restart"/>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kern w:val="0"/>
                <w:sz w:val="22"/>
                <w:szCs w:val="22"/>
              </w:rPr>
            </w:pPr>
            <w:r>
              <w:rPr>
                <w:rFonts w:hint="eastAsia" w:ascii="宋体" w:hAnsi="宋体" w:eastAsia="宋体" w:cs="宋体"/>
                <w:sz w:val="22"/>
                <w:szCs w:val="22"/>
              </w:rPr>
              <w:t>《国务院关于机构设置的通知》国发[2008]11号和《</w:t>
            </w:r>
            <w:r>
              <w:rPr>
                <w:rFonts w:hint="eastAsia" w:ascii="宋体" w:hAnsi="宋体" w:eastAsia="宋体" w:cs="宋体"/>
                <w:kern w:val="0"/>
                <w:sz w:val="22"/>
                <w:szCs w:val="22"/>
              </w:rPr>
              <w:t xml:space="preserve">卫生部主要职责内设机构和人员编制规定》 </w:t>
            </w:r>
          </w:p>
          <w:p>
            <w:pPr>
              <w:pStyle w:val="28"/>
              <w:shd w:val="clear" w:color="auto" w:fill="FCFCFC"/>
              <w:spacing w:line="400" w:lineRule="exact"/>
              <w:rPr>
                <w:rFonts w:hint="eastAsia" w:ascii="宋体" w:hAnsi="宋体" w:eastAsia="宋体" w:cs="宋体"/>
                <w:color w:val="333333"/>
                <w:spacing w:val="3"/>
                <w:sz w:val="22"/>
                <w:szCs w:val="22"/>
              </w:rPr>
            </w:pPr>
          </w:p>
        </w:tc>
        <w:tc>
          <w:tcPr>
            <w:tcW w:w="273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32" w:hRule="atLeast"/>
          <w:jc w:val="center"/>
        </w:trPr>
        <w:tc>
          <w:tcPr>
            <w:tcW w:w="8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5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575"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农业局</w:t>
            </w:r>
          </w:p>
        </w:tc>
        <w:tc>
          <w:tcPr>
            <w:tcW w:w="4605" w:type="dxa"/>
            <w:gridSpan w:val="3"/>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负责农产品生产环节的监管。</w:t>
            </w:r>
          </w:p>
        </w:tc>
        <w:tc>
          <w:tcPr>
            <w:tcW w:w="195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27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7" w:hRule="atLeast"/>
          <w:jc w:val="center"/>
        </w:trPr>
        <w:tc>
          <w:tcPr>
            <w:tcW w:w="8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5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575"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技术监督局</w:t>
            </w:r>
          </w:p>
        </w:tc>
        <w:tc>
          <w:tcPr>
            <w:tcW w:w="4605" w:type="dxa"/>
            <w:gridSpan w:val="3"/>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负责食品生产加工环节食品安全的监管。</w:t>
            </w:r>
          </w:p>
        </w:tc>
        <w:tc>
          <w:tcPr>
            <w:tcW w:w="195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27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69" w:hRule="atLeast"/>
          <w:jc w:val="center"/>
        </w:trPr>
        <w:tc>
          <w:tcPr>
            <w:tcW w:w="8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5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575"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工商局</w:t>
            </w:r>
          </w:p>
        </w:tc>
        <w:tc>
          <w:tcPr>
            <w:tcW w:w="4605" w:type="dxa"/>
            <w:gridSpan w:val="3"/>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负责食品流通环节的监管。</w:t>
            </w:r>
          </w:p>
        </w:tc>
        <w:tc>
          <w:tcPr>
            <w:tcW w:w="195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27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69" w:hRule="atLeast"/>
          <w:jc w:val="center"/>
        </w:trPr>
        <w:tc>
          <w:tcPr>
            <w:tcW w:w="8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5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575"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食品药品监督管理局</w:t>
            </w:r>
          </w:p>
        </w:tc>
        <w:tc>
          <w:tcPr>
            <w:tcW w:w="4605" w:type="dxa"/>
            <w:gridSpan w:val="3"/>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负责餐饮业、食堂等消费环节食品安全监督。</w:t>
            </w:r>
          </w:p>
        </w:tc>
        <w:tc>
          <w:tcPr>
            <w:tcW w:w="195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27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9" w:hRule="atLeast"/>
          <w:jc w:val="center"/>
        </w:trPr>
        <w:tc>
          <w:tcPr>
            <w:tcW w:w="825"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2</w:t>
            </w:r>
          </w:p>
        </w:tc>
        <w:tc>
          <w:tcPr>
            <w:tcW w:w="1560"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食品生产、流通、消费环节许可工作监督管理</w:t>
            </w:r>
          </w:p>
        </w:tc>
        <w:tc>
          <w:tcPr>
            <w:tcW w:w="1575"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卫生局</w:t>
            </w:r>
          </w:p>
        </w:tc>
        <w:tc>
          <w:tcPr>
            <w:tcW w:w="4605" w:type="dxa"/>
            <w:gridSpan w:val="3"/>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负责提出食品生产、流通环节的卫生规范和条件，纳入食品生产、流通许可的条件。</w:t>
            </w:r>
          </w:p>
        </w:tc>
        <w:tc>
          <w:tcPr>
            <w:tcW w:w="1950" w:type="dxa"/>
            <w:gridSpan w:val="2"/>
            <w:vMerge w:val="restart"/>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kern w:val="0"/>
                <w:sz w:val="22"/>
                <w:szCs w:val="22"/>
              </w:rPr>
            </w:pPr>
            <w:r>
              <w:rPr>
                <w:rFonts w:hint="eastAsia" w:ascii="宋体" w:hAnsi="宋体" w:eastAsia="宋体" w:cs="宋体"/>
                <w:sz w:val="22"/>
                <w:szCs w:val="22"/>
              </w:rPr>
              <w:t>《国务院关于机构设置的通知》国发[2008]11号和《</w:t>
            </w:r>
            <w:r>
              <w:rPr>
                <w:rFonts w:hint="eastAsia" w:ascii="宋体" w:hAnsi="宋体" w:eastAsia="宋体" w:cs="宋体"/>
                <w:kern w:val="0"/>
                <w:sz w:val="22"/>
                <w:szCs w:val="22"/>
              </w:rPr>
              <w:t xml:space="preserve">卫生部主要职责内设机构和人员编制规定》 </w:t>
            </w:r>
          </w:p>
          <w:p>
            <w:pPr>
              <w:widowControl/>
              <w:spacing w:after="240"/>
              <w:jc w:val="left"/>
              <w:rPr>
                <w:rFonts w:hint="eastAsia" w:ascii="宋体" w:hAnsi="宋体" w:eastAsia="宋体" w:cs="宋体"/>
                <w:kern w:val="0"/>
                <w:sz w:val="22"/>
                <w:szCs w:val="22"/>
              </w:rPr>
            </w:pPr>
          </w:p>
        </w:tc>
        <w:tc>
          <w:tcPr>
            <w:tcW w:w="273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0" w:hRule="atLeast"/>
          <w:jc w:val="center"/>
        </w:trPr>
        <w:tc>
          <w:tcPr>
            <w:tcW w:w="825" w:type="dxa"/>
            <w:vMerge w:val="continue"/>
            <w:tcBorders>
              <w:left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5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575"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食品药品监督管理局</w:t>
            </w:r>
          </w:p>
        </w:tc>
        <w:tc>
          <w:tcPr>
            <w:tcW w:w="4605" w:type="dxa"/>
            <w:gridSpan w:val="3"/>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负责餐饮业、食堂等消费环节食品卫生许可的监督管理。</w:t>
            </w:r>
          </w:p>
        </w:tc>
        <w:tc>
          <w:tcPr>
            <w:tcW w:w="195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27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jc w:val="center"/>
        </w:trPr>
        <w:tc>
          <w:tcPr>
            <w:tcW w:w="825"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5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575"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工商局</w:t>
            </w:r>
          </w:p>
        </w:tc>
        <w:tc>
          <w:tcPr>
            <w:tcW w:w="4605" w:type="dxa"/>
            <w:gridSpan w:val="3"/>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负责食品流通环节许可的监督管理。</w:t>
            </w:r>
          </w:p>
        </w:tc>
        <w:tc>
          <w:tcPr>
            <w:tcW w:w="195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27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6" w:hRule="atLeast"/>
          <w:jc w:val="center"/>
        </w:trPr>
        <w:tc>
          <w:tcPr>
            <w:tcW w:w="825" w:type="dxa"/>
            <w:tcBorders>
              <w:top w:val="single" w:color="auto" w:sz="4" w:space="0"/>
              <w:left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黑体" w:hAnsi="黑体" w:eastAsia="黑体" w:cs="黑体"/>
                <w:b w:val="0"/>
                <w:bCs w:val="0"/>
                <w:kern w:val="0"/>
                <w:sz w:val="28"/>
                <w:szCs w:val="28"/>
              </w:rPr>
              <w:t>序号</w:t>
            </w:r>
          </w:p>
        </w:tc>
        <w:tc>
          <w:tcPr>
            <w:tcW w:w="2085" w:type="dxa"/>
            <w:gridSpan w:val="2"/>
            <w:tcBorders>
              <w:top w:val="single" w:color="auto" w:sz="4" w:space="0"/>
              <w:left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黑体" w:hAnsi="黑体" w:eastAsia="黑体" w:cs="黑体"/>
                <w:b w:val="0"/>
                <w:bCs w:val="0"/>
                <w:kern w:val="0"/>
                <w:sz w:val="28"/>
                <w:szCs w:val="28"/>
              </w:rPr>
              <w:t>管理事项</w:t>
            </w:r>
          </w:p>
        </w:tc>
        <w:tc>
          <w:tcPr>
            <w:tcW w:w="14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黑体" w:hAnsi="黑体" w:eastAsia="黑体" w:cs="黑体"/>
                <w:b w:val="0"/>
                <w:bCs w:val="0"/>
                <w:kern w:val="0"/>
                <w:sz w:val="28"/>
                <w:szCs w:val="28"/>
              </w:rPr>
              <w:t>相关部门</w:t>
            </w:r>
          </w:p>
        </w:tc>
        <w:tc>
          <w:tcPr>
            <w:tcW w:w="5085"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黑体" w:hAnsi="黑体" w:eastAsia="黑体" w:cs="黑体"/>
                <w:b w:val="0"/>
                <w:bCs w:val="0"/>
                <w:kern w:val="0"/>
                <w:sz w:val="28"/>
                <w:szCs w:val="28"/>
              </w:rPr>
              <w:t>职责分工</w:t>
            </w:r>
          </w:p>
        </w:tc>
        <w:tc>
          <w:tcPr>
            <w:tcW w:w="219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hint="eastAsia" w:ascii="宋体" w:hAnsi="宋体" w:eastAsia="宋体" w:cs="宋体"/>
                <w:kern w:val="0"/>
                <w:sz w:val="22"/>
                <w:szCs w:val="22"/>
              </w:rPr>
            </w:pPr>
            <w:r>
              <w:rPr>
                <w:rFonts w:hint="eastAsia" w:ascii="黑体" w:hAnsi="黑体" w:eastAsia="黑体" w:cs="黑体"/>
                <w:b w:val="0"/>
                <w:bCs w:val="0"/>
                <w:kern w:val="0"/>
                <w:sz w:val="28"/>
                <w:szCs w:val="28"/>
              </w:rPr>
              <w:t>相关依据</w:t>
            </w:r>
          </w:p>
        </w:tc>
        <w:tc>
          <w:tcPr>
            <w:tcW w:w="1620" w:type="dxa"/>
            <w:tcBorders>
              <w:top w:val="single" w:color="auto" w:sz="4" w:space="0"/>
              <w:left w:val="single" w:color="auto" w:sz="4" w:space="0"/>
              <w:right w:val="single" w:color="auto" w:sz="4" w:space="0"/>
            </w:tcBorders>
            <w:vAlign w:val="center"/>
          </w:tcPr>
          <w:p>
            <w:pPr>
              <w:widowControl/>
              <w:jc w:val="center"/>
              <w:rPr>
                <w:rFonts w:ascii="仿宋_GB2312" w:hAnsi="仿宋_GB2312" w:eastAsia="仿宋_GB2312" w:cs="仿宋_GB2312"/>
                <w:kern w:val="0"/>
                <w:sz w:val="20"/>
                <w:szCs w:val="20"/>
              </w:rPr>
            </w:pPr>
            <w:r>
              <w:rPr>
                <w:rFonts w:hint="eastAsia" w:ascii="黑体" w:hAnsi="黑体" w:eastAsia="黑体" w:cs="黑体"/>
                <w:b w:val="0"/>
                <w:bCs w:val="0"/>
                <w:kern w:val="0"/>
                <w:sz w:val="28"/>
                <w:szCs w:val="28"/>
              </w:rPr>
              <w:t>案例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776" w:hRule="atLeast"/>
          <w:jc w:val="center"/>
        </w:trPr>
        <w:tc>
          <w:tcPr>
            <w:tcW w:w="825"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3</w:t>
            </w:r>
          </w:p>
        </w:tc>
        <w:tc>
          <w:tcPr>
            <w:tcW w:w="2085" w:type="dxa"/>
            <w:gridSpan w:val="2"/>
            <w:vMerge w:val="restart"/>
            <w:tcBorders>
              <w:top w:val="single" w:color="auto" w:sz="4" w:space="0"/>
              <w:left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rPr>
            </w:pPr>
          </w:p>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职业卫生监督的职责分工</w:t>
            </w:r>
          </w:p>
        </w:tc>
        <w:tc>
          <w:tcPr>
            <w:tcW w:w="14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卫生局</w:t>
            </w:r>
          </w:p>
        </w:tc>
        <w:tc>
          <w:tcPr>
            <w:tcW w:w="5085"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负责拟定职业卫生管理办法，规范职业病的预防、保健、检查和救治，负责职业卫生评价及化学品毒性鉴定工作。</w:t>
            </w:r>
          </w:p>
        </w:tc>
        <w:tc>
          <w:tcPr>
            <w:tcW w:w="2190" w:type="dxa"/>
            <w:gridSpan w:val="2"/>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30"/>
              <w:spacing w:line="432" w:lineRule="auto"/>
              <w:rPr>
                <w:rFonts w:hint="eastAsia" w:ascii="宋体" w:hAnsi="宋体" w:eastAsia="宋体" w:cs="宋体"/>
                <w:sz w:val="22"/>
                <w:szCs w:val="22"/>
              </w:rPr>
            </w:pPr>
            <w:r>
              <w:rPr>
                <w:rFonts w:hint="eastAsia" w:ascii="宋体" w:hAnsi="宋体" w:eastAsia="宋体" w:cs="宋体"/>
                <w:sz w:val="22"/>
                <w:szCs w:val="22"/>
              </w:rPr>
              <w:t>《中华人民共和国职业病防治法》和《</w:t>
            </w:r>
            <w:r>
              <w:rPr>
                <w:rFonts w:hint="eastAsia" w:ascii="宋体" w:hAnsi="宋体" w:eastAsia="宋体" w:cs="宋体"/>
                <w:bCs/>
                <w:sz w:val="22"/>
                <w:szCs w:val="22"/>
              </w:rPr>
              <w:t>职业卫生技术服务机构管理办法》中华人民共和国卫生部第31号令</w:t>
            </w:r>
          </w:p>
          <w:p>
            <w:pPr>
              <w:widowControl/>
              <w:jc w:val="left"/>
              <w:rPr>
                <w:rFonts w:hint="eastAsia" w:ascii="宋体" w:hAnsi="宋体" w:eastAsia="宋体" w:cs="宋体"/>
                <w:kern w:val="0"/>
                <w:sz w:val="22"/>
                <w:szCs w:val="22"/>
              </w:rPr>
            </w:pPr>
          </w:p>
        </w:tc>
        <w:tc>
          <w:tcPr>
            <w:tcW w:w="1620" w:type="dxa"/>
            <w:vMerge w:val="restart"/>
            <w:tcBorders>
              <w:top w:val="single" w:color="auto" w:sz="4" w:space="0"/>
              <w:left w:val="single" w:color="auto" w:sz="4" w:space="0"/>
              <w:right w:val="single" w:color="auto" w:sz="4" w:space="0"/>
            </w:tcBorders>
            <w:vAlign w:val="top"/>
          </w:tcPr>
          <w:p>
            <w:pPr>
              <w:widowControl/>
              <w:jc w:val="left"/>
              <w:rPr>
                <w:rFonts w:ascii="仿宋_GB2312" w:hAnsi="仿宋_GB2312" w:eastAsia="仿宋_GB2312" w:cs="仿宋_GB2312"/>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55" w:hRule="atLeast"/>
          <w:jc w:val="center"/>
        </w:trPr>
        <w:tc>
          <w:tcPr>
            <w:tcW w:w="825"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2085" w:type="dxa"/>
            <w:gridSpan w:val="2"/>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440" w:type="dxa"/>
            <w:gridSpan w:val="2"/>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安全生产监督管理局</w:t>
            </w:r>
          </w:p>
        </w:tc>
        <w:tc>
          <w:tcPr>
            <w:tcW w:w="5085" w:type="dxa"/>
            <w:gridSpan w:val="3"/>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负责作业场所职业卫生的监督检查工作，负责职业卫生安全许可证的颁发管理，组织查处职业危害事故和有关违法违规行为。</w:t>
            </w:r>
          </w:p>
        </w:tc>
        <w:tc>
          <w:tcPr>
            <w:tcW w:w="21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1620"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r>
    </w:tbl>
    <w:p>
      <w:pPr>
        <w:rPr>
          <w:rFonts w:hint="eastAsia" w:ascii="宋体" w:eastAsia="宋体"/>
          <w:sz w:val="20"/>
          <w:szCs w:val="20"/>
          <w:lang w:eastAsia="zh-CN"/>
        </w:rPr>
      </w:pPr>
    </w:p>
    <w:p>
      <w:pPr>
        <w:rPr>
          <w:rFonts w:hint="eastAsia" w:ascii="宋体" w:eastAsia="宋体"/>
          <w:sz w:val="20"/>
          <w:szCs w:val="20"/>
          <w:lang w:eastAsia="zh-CN"/>
        </w:rPr>
      </w:pPr>
    </w:p>
    <w:p>
      <w:pPr>
        <w:rPr>
          <w:rFonts w:hint="eastAsia" w:ascii="宋体" w:eastAsia="宋体"/>
          <w:sz w:val="20"/>
          <w:szCs w:val="20"/>
          <w:lang w:eastAsia="zh-CN"/>
        </w:rPr>
      </w:pPr>
    </w:p>
    <w:p>
      <w:pPr>
        <w:rPr>
          <w:rFonts w:hint="eastAsia" w:ascii="宋体" w:eastAsia="宋体"/>
          <w:sz w:val="20"/>
          <w:szCs w:val="20"/>
          <w:lang w:eastAsia="zh-CN"/>
        </w:rPr>
      </w:pPr>
    </w:p>
    <w:p>
      <w:pPr>
        <w:rPr>
          <w:rFonts w:hint="eastAsia" w:ascii="宋体" w:eastAsia="宋体"/>
          <w:sz w:val="20"/>
          <w:szCs w:val="20"/>
          <w:lang w:eastAsia="zh-CN"/>
        </w:rPr>
      </w:pPr>
    </w:p>
    <w:p>
      <w:pPr>
        <w:rPr>
          <w:rFonts w:hint="eastAsia" w:ascii="宋体" w:eastAsia="宋体"/>
          <w:sz w:val="20"/>
          <w:szCs w:val="20"/>
          <w:lang w:eastAsia="zh-CN"/>
        </w:rPr>
      </w:pPr>
    </w:p>
    <w:p>
      <w:pPr>
        <w:rPr>
          <w:rFonts w:hint="eastAsia" w:ascii="宋体" w:eastAsia="宋体"/>
          <w:sz w:val="20"/>
          <w:szCs w:val="20"/>
          <w:lang w:eastAsia="zh-CN"/>
        </w:rPr>
      </w:pPr>
    </w:p>
    <w:p>
      <w:pPr>
        <w:rPr>
          <w:rFonts w:hint="eastAsia" w:ascii="宋体" w:eastAsia="宋体"/>
          <w:sz w:val="20"/>
          <w:szCs w:val="20"/>
          <w:lang w:eastAsia="zh-CN"/>
        </w:rPr>
      </w:pPr>
    </w:p>
    <w:p>
      <w:pPr>
        <w:rPr>
          <w:rFonts w:hint="eastAsia" w:ascii="宋体" w:eastAsia="宋体"/>
          <w:sz w:val="20"/>
          <w:szCs w:val="20"/>
          <w:lang w:eastAsia="zh-CN"/>
        </w:rPr>
      </w:pPr>
    </w:p>
    <w:p>
      <w:pPr>
        <w:rPr>
          <w:rFonts w:hint="eastAsia" w:ascii="宋体" w:eastAsia="宋体"/>
          <w:sz w:val="20"/>
          <w:szCs w:val="20"/>
          <w:lang w:eastAsia="zh-CN"/>
        </w:rPr>
      </w:pPr>
    </w:p>
    <w:p>
      <w:pPr>
        <w:rPr>
          <w:rFonts w:hint="eastAsia" w:ascii="宋体" w:eastAsia="宋体"/>
          <w:sz w:val="20"/>
          <w:szCs w:val="20"/>
          <w:lang w:eastAsia="zh-CN"/>
        </w:rPr>
      </w:pPr>
    </w:p>
    <w:p>
      <w:pPr>
        <w:rPr>
          <w:rFonts w:hint="eastAsia" w:ascii="宋体" w:eastAsia="宋体"/>
          <w:sz w:val="20"/>
          <w:szCs w:val="20"/>
          <w:lang w:eastAsia="zh-CN"/>
        </w:rPr>
      </w:pPr>
    </w:p>
    <w:p>
      <w:pPr>
        <w:rPr>
          <w:rFonts w:hint="eastAsia" w:ascii="宋体" w:eastAsia="宋体"/>
          <w:sz w:val="20"/>
          <w:szCs w:val="20"/>
          <w:lang w:eastAsia="zh-CN"/>
        </w:rPr>
      </w:pPr>
    </w:p>
    <w:p>
      <w:pPr>
        <w:rPr>
          <w:rFonts w:hint="eastAsia" w:ascii="宋体" w:eastAsia="宋体"/>
          <w:sz w:val="20"/>
          <w:szCs w:val="20"/>
          <w:lang w:eastAsia="zh-CN"/>
        </w:rPr>
      </w:pPr>
    </w:p>
    <w:p>
      <w:pPr>
        <w:rPr>
          <w:rFonts w:hint="eastAsia" w:ascii="宋体" w:eastAsia="宋体"/>
          <w:sz w:val="20"/>
          <w:szCs w:val="20"/>
          <w:lang w:eastAsia="zh-CN"/>
        </w:rPr>
      </w:pPr>
    </w:p>
    <w:p>
      <w:pPr>
        <w:spacing w:line="480" w:lineRule="exact"/>
        <w:jc w:val="both"/>
        <w:rPr>
          <w:rFonts w:hint="eastAsia" w:ascii="宋体" w:hAnsi="宋体" w:eastAsia="宋体" w:cs="宋体"/>
          <w:kern w:val="0"/>
          <w:sz w:val="44"/>
          <w:szCs w:val="44"/>
        </w:rPr>
      </w:pPr>
      <w:r>
        <w:rPr>
          <w:rFonts w:hint="eastAsia" w:ascii="宋体" w:hAnsi="宋体" w:cs="宋体"/>
          <w:kern w:val="0"/>
          <w:sz w:val="44"/>
          <w:szCs w:val="44"/>
          <w:lang w:val="en-US" w:eastAsia="zh-CN"/>
        </w:rPr>
        <w:t xml:space="preserve">                    </w:t>
      </w:r>
      <w:r>
        <w:rPr>
          <w:rFonts w:hint="eastAsia" w:ascii="宋体" w:hAnsi="宋体" w:eastAsia="宋体" w:cs="宋体"/>
          <w:kern w:val="0"/>
          <w:sz w:val="44"/>
          <w:szCs w:val="44"/>
          <w:lang w:eastAsia="zh-CN"/>
        </w:rPr>
        <w:t>三、</w:t>
      </w:r>
      <w:r>
        <w:rPr>
          <w:rFonts w:hint="eastAsia" w:ascii="宋体" w:hAnsi="宋体" w:eastAsia="宋体" w:cs="宋体"/>
          <w:kern w:val="0"/>
          <w:sz w:val="44"/>
          <w:szCs w:val="44"/>
        </w:rPr>
        <w:t>公共服务事项</w:t>
      </w:r>
      <w:r>
        <w:rPr>
          <w:rFonts w:hint="eastAsia" w:ascii="宋体" w:hAnsi="宋体" w:eastAsia="宋体" w:cs="宋体"/>
          <w:kern w:val="0"/>
          <w:sz w:val="44"/>
          <w:szCs w:val="44"/>
          <w:lang w:eastAsia="zh-CN"/>
        </w:rPr>
        <w:t>登记表</w:t>
      </w:r>
    </w:p>
    <w:p>
      <w:pPr>
        <w:spacing w:line="480" w:lineRule="exact"/>
        <w:jc w:val="left"/>
        <w:rPr>
          <w:rFonts w:ascii="黑体" w:hAnsi="黑体" w:eastAsia="黑体" w:cs="宋体"/>
          <w:kern w:val="0"/>
          <w:sz w:val="32"/>
          <w:szCs w:val="32"/>
        </w:rPr>
      </w:pPr>
      <w:r>
        <w:rPr>
          <w:rFonts w:ascii="宋体" w:hAnsi="宋体" w:cs="宋体"/>
          <w:kern w:val="0"/>
          <w:sz w:val="28"/>
          <w:szCs w:val="28"/>
        </w:rPr>
        <w:t xml:space="preserve">   </w:t>
      </w:r>
      <w:r>
        <w:rPr>
          <w:rFonts w:hint="eastAsia" w:ascii="宋体" w:hAnsi="宋体" w:cs="宋体"/>
          <w:kern w:val="0"/>
          <w:sz w:val="22"/>
          <w:szCs w:val="22"/>
        </w:rPr>
        <w:t>部门名称：沙河市卫生局</w:t>
      </w:r>
    </w:p>
    <w:tbl>
      <w:tblPr>
        <w:tblStyle w:val="14"/>
        <w:tblW w:w="13275" w:type="dxa"/>
        <w:jc w:val="center"/>
        <w:tblInd w:w="-68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4"/>
        <w:gridCol w:w="2635"/>
        <w:gridCol w:w="6255"/>
        <w:gridCol w:w="1440"/>
        <w:gridCol w:w="18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4" w:hRule="atLeast"/>
          <w:tblHeader/>
          <w:jc w:val="center"/>
        </w:trPr>
        <w:tc>
          <w:tcPr>
            <w:tcW w:w="112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b w:val="0"/>
                <w:bCs w:val="0"/>
                <w:kern w:val="0"/>
                <w:sz w:val="28"/>
                <w:szCs w:val="28"/>
              </w:rPr>
            </w:pPr>
            <w:r>
              <w:rPr>
                <w:rFonts w:hint="eastAsia" w:ascii="黑体" w:hAnsi="黑体" w:eastAsia="黑体" w:cs="黑体"/>
                <w:b w:val="0"/>
                <w:bCs w:val="0"/>
                <w:kern w:val="0"/>
                <w:sz w:val="28"/>
                <w:szCs w:val="28"/>
              </w:rPr>
              <w:t>序号</w:t>
            </w:r>
          </w:p>
        </w:tc>
        <w:tc>
          <w:tcPr>
            <w:tcW w:w="2635" w:type="dxa"/>
            <w:tcBorders>
              <w:top w:val="single" w:color="auto" w:sz="4" w:space="0"/>
              <w:left w:val="nil"/>
              <w:bottom w:val="single" w:color="auto" w:sz="4" w:space="0"/>
              <w:right w:val="single" w:color="auto" w:sz="4" w:space="0"/>
            </w:tcBorders>
            <w:vAlign w:val="center"/>
          </w:tcPr>
          <w:p>
            <w:pPr>
              <w:widowControl/>
              <w:jc w:val="center"/>
              <w:rPr>
                <w:rFonts w:hint="eastAsia" w:ascii="黑体" w:hAnsi="黑体" w:eastAsia="黑体" w:cs="黑体"/>
                <w:b w:val="0"/>
                <w:bCs w:val="0"/>
                <w:kern w:val="0"/>
                <w:sz w:val="28"/>
                <w:szCs w:val="28"/>
              </w:rPr>
            </w:pPr>
            <w:r>
              <w:rPr>
                <w:rFonts w:hint="eastAsia" w:ascii="黑体" w:hAnsi="黑体" w:eastAsia="黑体" w:cs="黑体"/>
                <w:b w:val="0"/>
                <w:bCs w:val="0"/>
                <w:kern w:val="0"/>
                <w:sz w:val="28"/>
                <w:szCs w:val="28"/>
              </w:rPr>
              <w:t>服务事项</w:t>
            </w:r>
          </w:p>
        </w:tc>
        <w:tc>
          <w:tcPr>
            <w:tcW w:w="6255" w:type="dxa"/>
            <w:tcBorders>
              <w:top w:val="single" w:color="auto" w:sz="4" w:space="0"/>
              <w:left w:val="nil"/>
              <w:bottom w:val="single" w:color="auto" w:sz="4" w:space="0"/>
              <w:right w:val="single" w:color="auto" w:sz="4" w:space="0"/>
            </w:tcBorders>
            <w:vAlign w:val="center"/>
          </w:tcPr>
          <w:p>
            <w:pPr>
              <w:widowControl/>
              <w:jc w:val="center"/>
              <w:rPr>
                <w:rFonts w:hint="eastAsia" w:ascii="黑体" w:hAnsi="黑体" w:eastAsia="黑体" w:cs="黑体"/>
                <w:b w:val="0"/>
                <w:bCs w:val="0"/>
                <w:kern w:val="0"/>
                <w:sz w:val="28"/>
                <w:szCs w:val="28"/>
              </w:rPr>
            </w:pPr>
            <w:r>
              <w:rPr>
                <w:rFonts w:hint="eastAsia" w:ascii="黑体" w:hAnsi="黑体" w:eastAsia="黑体" w:cs="黑体"/>
                <w:b w:val="0"/>
                <w:bCs w:val="0"/>
                <w:kern w:val="0"/>
                <w:sz w:val="28"/>
                <w:szCs w:val="28"/>
              </w:rPr>
              <w:t>主要内容</w:t>
            </w:r>
          </w:p>
        </w:tc>
        <w:tc>
          <w:tcPr>
            <w:tcW w:w="1440" w:type="dxa"/>
            <w:tcBorders>
              <w:top w:val="single" w:color="auto" w:sz="4" w:space="0"/>
              <w:left w:val="nil"/>
              <w:bottom w:val="single" w:color="auto" w:sz="4" w:space="0"/>
              <w:right w:val="single" w:color="auto" w:sz="4" w:space="0"/>
            </w:tcBorders>
            <w:vAlign w:val="center"/>
          </w:tcPr>
          <w:p>
            <w:pPr>
              <w:widowControl/>
              <w:jc w:val="center"/>
              <w:rPr>
                <w:rFonts w:hint="eastAsia" w:ascii="黑体" w:hAnsi="黑体" w:eastAsia="黑体" w:cs="黑体"/>
                <w:b w:val="0"/>
                <w:bCs w:val="0"/>
                <w:kern w:val="0"/>
                <w:sz w:val="28"/>
                <w:szCs w:val="28"/>
              </w:rPr>
            </w:pPr>
            <w:r>
              <w:rPr>
                <w:rFonts w:hint="eastAsia" w:ascii="黑体" w:hAnsi="黑体" w:eastAsia="黑体" w:cs="黑体"/>
                <w:b w:val="0"/>
                <w:bCs w:val="0"/>
                <w:kern w:val="0"/>
                <w:sz w:val="28"/>
                <w:szCs w:val="28"/>
              </w:rPr>
              <w:t>活动时间</w:t>
            </w:r>
          </w:p>
        </w:tc>
        <w:tc>
          <w:tcPr>
            <w:tcW w:w="1821" w:type="dxa"/>
            <w:tcBorders>
              <w:top w:val="single" w:color="auto" w:sz="4" w:space="0"/>
              <w:left w:val="nil"/>
              <w:bottom w:val="single" w:color="auto" w:sz="4" w:space="0"/>
              <w:right w:val="single" w:color="auto" w:sz="4" w:space="0"/>
            </w:tcBorders>
            <w:vAlign w:val="center"/>
          </w:tcPr>
          <w:p>
            <w:pPr>
              <w:widowControl/>
              <w:jc w:val="center"/>
              <w:rPr>
                <w:rFonts w:hint="eastAsia" w:ascii="黑体" w:hAnsi="黑体" w:eastAsia="黑体" w:cs="黑体"/>
                <w:b w:val="0"/>
                <w:bCs w:val="0"/>
                <w:kern w:val="0"/>
                <w:sz w:val="28"/>
                <w:szCs w:val="28"/>
              </w:rPr>
            </w:pPr>
            <w:r>
              <w:rPr>
                <w:rFonts w:hint="eastAsia" w:ascii="黑体" w:hAnsi="黑体" w:eastAsia="黑体" w:cs="黑体"/>
                <w:b w:val="0"/>
                <w:bCs w:val="0"/>
                <w:kern w:val="0"/>
                <w:sz w:val="28"/>
                <w:szCs w:val="28"/>
              </w:rPr>
              <w:t>责任科室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79" w:hRule="atLeast"/>
          <w:jc w:val="center"/>
        </w:trPr>
        <w:tc>
          <w:tcPr>
            <w:tcW w:w="112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1</w:t>
            </w:r>
          </w:p>
        </w:tc>
        <w:tc>
          <w:tcPr>
            <w:tcW w:w="2635"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突发公共卫生事件的医疗救治工作</w:t>
            </w:r>
          </w:p>
        </w:tc>
        <w:tc>
          <w:tcPr>
            <w:tcW w:w="6255"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负责突发公共卫生事件的医疗救治工作</w:t>
            </w:r>
          </w:p>
        </w:tc>
        <w:tc>
          <w:tcPr>
            <w:tcW w:w="144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全年</w:t>
            </w:r>
          </w:p>
        </w:tc>
        <w:tc>
          <w:tcPr>
            <w:tcW w:w="1821"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医政股</w:t>
            </w:r>
          </w:p>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8906298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985" w:hRule="atLeast"/>
          <w:jc w:val="center"/>
        </w:trPr>
        <w:tc>
          <w:tcPr>
            <w:tcW w:w="112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2</w:t>
            </w:r>
          </w:p>
        </w:tc>
        <w:tc>
          <w:tcPr>
            <w:tcW w:w="2635"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基本公共卫生服务项目</w:t>
            </w:r>
          </w:p>
        </w:tc>
        <w:tc>
          <w:tcPr>
            <w:tcW w:w="6255"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开展城乡居民健康档案管理、健康教育、预防接种、0-6岁儿童健康管理、孕产妇健康管理、老年人健康管理、高血压患者健康管理、糖尿病患者健康管理、重性精神疾病患者管理、传染病及突发公共卫生事件报告和处理、卫生监督协管、中医药健康管理等12项基本公共卫生服务项目，</w:t>
            </w:r>
          </w:p>
        </w:tc>
        <w:tc>
          <w:tcPr>
            <w:tcW w:w="144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全年</w:t>
            </w:r>
          </w:p>
        </w:tc>
        <w:tc>
          <w:tcPr>
            <w:tcW w:w="1821"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防疫保健股</w:t>
            </w:r>
          </w:p>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8905375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0" w:hRule="atLeast"/>
          <w:jc w:val="center"/>
        </w:trPr>
        <w:tc>
          <w:tcPr>
            <w:tcW w:w="1124"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3</w:t>
            </w:r>
          </w:p>
        </w:tc>
        <w:tc>
          <w:tcPr>
            <w:tcW w:w="2635"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重大公共卫生服务项目</w:t>
            </w:r>
          </w:p>
        </w:tc>
        <w:tc>
          <w:tcPr>
            <w:tcW w:w="6255"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开展孕产妇预防艾滋病梅毒乙肝、孕产妇增补叶酸预防神经管缺陷等重大公共卫生服务项目。</w:t>
            </w:r>
          </w:p>
        </w:tc>
        <w:tc>
          <w:tcPr>
            <w:tcW w:w="144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全年</w:t>
            </w:r>
          </w:p>
        </w:tc>
        <w:tc>
          <w:tcPr>
            <w:tcW w:w="1821"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防疫保健股</w:t>
            </w:r>
          </w:p>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8905375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915" w:hRule="atLeast"/>
          <w:jc w:val="center"/>
        </w:trPr>
        <w:tc>
          <w:tcPr>
            <w:tcW w:w="1124"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4</w:t>
            </w:r>
          </w:p>
        </w:tc>
        <w:tc>
          <w:tcPr>
            <w:tcW w:w="2635"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卫生法律法规宣传、咨询</w:t>
            </w:r>
          </w:p>
        </w:tc>
        <w:tc>
          <w:tcPr>
            <w:tcW w:w="6255" w:type="dxa"/>
            <w:tcBorders>
              <w:top w:val="single" w:color="auto" w:sz="4" w:space="0"/>
              <w:left w:val="nil"/>
              <w:bottom w:val="nil"/>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饮用水卫生宣传周，开展饮用水卫生知识现场咨询、现场免费快速检测水质等活动。</w:t>
            </w:r>
          </w:p>
        </w:tc>
        <w:tc>
          <w:tcPr>
            <w:tcW w:w="1440" w:type="dxa"/>
            <w:tcBorders>
              <w:top w:val="single" w:color="auto" w:sz="4" w:space="0"/>
              <w:left w:val="nil"/>
              <w:bottom w:val="nil"/>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不定期</w:t>
            </w:r>
          </w:p>
        </w:tc>
        <w:tc>
          <w:tcPr>
            <w:tcW w:w="1821"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防疫保健股</w:t>
            </w:r>
          </w:p>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8905375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11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26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6255"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打击非法行医等现场宣传咨询活动。</w:t>
            </w:r>
          </w:p>
        </w:tc>
        <w:tc>
          <w:tcPr>
            <w:tcW w:w="144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不定期</w:t>
            </w:r>
          </w:p>
        </w:tc>
        <w:tc>
          <w:tcPr>
            <w:tcW w:w="1821"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医政股</w:t>
            </w:r>
          </w:p>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8906298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jc w:val="center"/>
        </w:trPr>
        <w:tc>
          <w:tcPr>
            <w:tcW w:w="11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26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6255"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对社会公众、机关企事业单位职工开展健康生活方式知识宣教和健康技能培训。</w:t>
            </w:r>
          </w:p>
        </w:tc>
        <w:tc>
          <w:tcPr>
            <w:tcW w:w="144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不定期</w:t>
            </w:r>
          </w:p>
        </w:tc>
        <w:tc>
          <w:tcPr>
            <w:tcW w:w="1821"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防疫保健股</w:t>
            </w:r>
          </w:p>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8905375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9" w:hRule="atLeast"/>
          <w:jc w:val="center"/>
        </w:trPr>
        <w:tc>
          <w:tcPr>
            <w:tcW w:w="11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26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p>
        </w:tc>
        <w:tc>
          <w:tcPr>
            <w:tcW w:w="6255"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开展学校卫生、公共场所卫生、健康教育等卫生宣传咨询进学校、进社区活动。</w:t>
            </w:r>
          </w:p>
        </w:tc>
        <w:tc>
          <w:tcPr>
            <w:tcW w:w="144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不定期</w:t>
            </w:r>
          </w:p>
        </w:tc>
        <w:tc>
          <w:tcPr>
            <w:tcW w:w="1821"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防疫保健股</w:t>
            </w:r>
          </w:p>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8905375</w:t>
            </w:r>
          </w:p>
        </w:tc>
      </w:tr>
    </w:tbl>
    <w:p>
      <w:pPr>
        <w:rPr>
          <w:rFonts w:ascii="仿宋_GB2312" w:hAnsi="宋体" w:eastAsia="仿宋_GB2312"/>
          <w:sz w:val="28"/>
          <w:szCs w:val="28"/>
        </w:rPr>
      </w:pPr>
      <w:bookmarkStart w:id="0" w:name="_GoBack"/>
      <w:bookmarkEnd w:id="0"/>
    </w:p>
    <w:sectPr>
      <w:headerReference r:id="rId4" w:type="default"/>
      <w:footerReference r:id="rId5" w:type="default"/>
      <w:pgSz w:w="16838" w:h="11906" w:orient="landscape"/>
      <w:pgMar w:top="1077" w:right="1440" w:bottom="1020" w:left="1474" w:header="851" w:footer="992" w:gutter="0"/>
      <w:paperSrc w:first="0" w:other="0"/>
      <w:cols w:space="72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方正书宋简体">
    <w:altName w:val="宋体"/>
    <w:panose1 w:val="00000000000000000000"/>
    <w:charset w:val="86"/>
    <w:family w:val="auto"/>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pPr>
    <w:r>
      <w:rPr>
        <w:rFonts w:ascii="Times New Roman" w:hAnsi="Times New Roman" w:eastAsia="宋体" w:cs="Times New Roman"/>
        <w:kern w:val="0"/>
        <w:sz w:val="18"/>
        <w:szCs w:val="18"/>
        <w:lang w:val="en-US" w:eastAsia="zh-CN" w:bidi="ar-SA"/>
      </w:rPr>
      <w:pict>
        <v:shape id="文本框 1" o:spid="_x0000_s1025" type="#_x0000_t202" style="position:absolute;left:0;margin-top:0pt;height:11pt;width:4.6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sz w:val="18"/>
                  </w:rPr>
                </w:pPr>
                <w:r>
                  <w:fldChar w:fldCharType="begin"/>
                </w:r>
                <w:r>
                  <w:instrText xml:space="preserve"> PAGE  \* MERGEFORMAT </w:instrText>
                </w:r>
                <w:r>
                  <w:fldChar w:fldCharType="separate"/>
                </w:r>
                <w:r>
                  <w:rPr>
                    <w:sz w:val="18"/>
                  </w:rPr>
                  <w:t>7</w:t>
                </w:r>
                <w:r>
                  <w:rPr>
                    <w:sz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rPr>
        <w:rFonts w:ascii="黑体" w:hAnsi="黑体" w:eastAsia="黑体"/>
        <w:sz w:val="32"/>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8"/>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C60E5F"/>
    <w:rsid w:val="000132D6"/>
    <w:rsid w:val="000152BC"/>
    <w:rsid w:val="0002011F"/>
    <w:rsid w:val="00025442"/>
    <w:rsid w:val="00032CA6"/>
    <w:rsid w:val="00061A64"/>
    <w:rsid w:val="000625AC"/>
    <w:rsid w:val="00066915"/>
    <w:rsid w:val="0007213F"/>
    <w:rsid w:val="00072B00"/>
    <w:rsid w:val="000742F6"/>
    <w:rsid w:val="0007543C"/>
    <w:rsid w:val="00083CB5"/>
    <w:rsid w:val="000B3017"/>
    <w:rsid w:val="000F77EF"/>
    <w:rsid w:val="001038BF"/>
    <w:rsid w:val="001214E8"/>
    <w:rsid w:val="00121CAE"/>
    <w:rsid w:val="00147345"/>
    <w:rsid w:val="001522AB"/>
    <w:rsid w:val="001668EF"/>
    <w:rsid w:val="00182EC0"/>
    <w:rsid w:val="0018548D"/>
    <w:rsid w:val="001B1DFD"/>
    <w:rsid w:val="001E5E46"/>
    <w:rsid w:val="001F2808"/>
    <w:rsid w:val="001F29D1"/>
    <w:rsid w:val="00200112"/>
    <w:rsid w:val="002053F5"/>
    <w:rsid w:val="002076ED"/>
    <w:rsid w:val="0022102E"/>
    <w:rsid w:val="0023354A"/>
    <w:rsid w:val="002435E1"/>
    <w:rsid w:val="00253444"/>
    <w:rsid w:val="002543EA"/>
    <w:rsid w:val="00274A7D"/>
    <w:rsid w:val="002778F7"/>
    <w:rsid w:val="0028245B"/>
    <w:rsid w:val="002B79E4"/>
    <w:rsid w:val="002D0ED8"/>
    <w:rsid w:val="002E5417"/>
    <w:rsid w:val="0031378C"/>
    <w:rsid w:val="00316218"/>
    <w:rsid w:val="00326693"/>
    <w:rsid w:val="00332DAE"/>
    <w:rsid w:val="00340FA8"/>
    <w:rsid w:val="003453C6"/>
    <w:rsid w:val="003468C9"/>
    <w:rsid w:val="00362D66"/>
    <w:rsid w:val="00384030"/>
    <w:rsid w:val="003C5415"/>
    <w:rsid w:val="003D0282"/>
    <w:rsid w:val="003D4120"/>
    <w:rsid w:val="003F720C"/>
    <w:rsid w:val="00400472"/>
    <w:rsid w:val="004028AF"/>
    <w:rsid w:val="00431957"/>
    <w:rsid w:val="0044027B"/>
    <w:rsid w:val="00445924"/>
    <w:rsid w:val="004529A5"/>
    <w:rsid w:val="00452F05"/>
    <w:rsid w:val="00460467"/>
    <w:rsid w:val="00472824"/>
    <w:rsid w:val="00477041"/>
    <w:rsid w:val="00484F42"/>
    <w:rsid w:val="00494D5A"/>
    <w:rsid w:val="004E4376"/>
    <w:rsid w:val="004F6361"/>
    <w:rsid w:val="004F7874"/>
    <w:rsid w:val="00500ED5"/>
    <w:rsid w:val="00517CCF"/>
    <w:rsid w:val="00517FE0"/>
    <w:rsid w:val="0052737A"/>
    <w:rsid w:val="00534F29"/>
    <w:rsid w:val="00577AB9"/>
    <w:rsid w:val="00583CAF"/>
    <w:rsid w:val="00586A97"/>
    <w:rsid w:val="00586CAB"/>
    <w:rsid w:val="005930F4"/>
    <w:rsid w:val="005B729F"/>
    <w:rsid w:val="005D2CD3"/>
    <w:rsid w:val="005E7104"/>
    <w:rsid w:val="005F5CB9"/>
    <w:rsid w:val="006263E0"/>
    <w:rsid w:val="00634387"/>
    <w:rsid w:val="00637FD4"/>
    <w:rsid w:val="00677E54"/>
    <w:rsid w:val="006810F2"/>
    <w:rsid w:val="00682CB9"/>
    <w:rsid w:val="006A367E"/>
    <w:rsid w:val="006B053F"/>
    <w:rsid w:val="006B60BD"/>
    <w:rsid w:val="006D7176"/>
    <w:rsid w:val="006E1635"/>
    <w:rsid w:val="00717F7C"/>
    <w:rsid w:val="007432ED"/>
    <w:rsid w:val="007434E8"/>
    <w:rsid w:val="00746CF9"/>
    <w:rsid w:val="0075597F"/>
    <w:rsid w:val="0077541D"/>
    <w:rsid w:val="00780123"/>
    <w:rsid w:val="00785FC1"/>
    <w:rsid w:val="007A721A"/>
    <w:rsid w:val="007B480E"/>
    <w:rsid w:val="007E4632"/>
    <w:rsid w:val="007F1EF1"/>
    <w:rsid w:val="00801D43"/>
    <w:rsid w:val="008158E1"/>
    <w:rsid w:val="00844FA6"/>
    <w:rsid w:val="0085313B"/>
    <w:rsid w:val="008540C4"/>
    <w:rsid w:val="00867EAB"/>
    <w:rsid w:val="0088425F"/>
    <w:rsid w:val="0089247E"/>
    <w:rsid w:val="008975F6"/>
    <w:rsid w:val="008A7205"/>
    <w:rsid w:val="008C63C2"/>
    <w:rsid w:val="008D63EE"/>
    <w:rsid w:val="008D7B9A"/>
    <w:rsid w:val="008F5B16"/>
    <w:rsid w:val="00902471"/>
    <w:rsid w:val="009038D9"/>
    <w:rsid w:val="009134BE"/>
    <w:rsid w:val="00920643"/>
    <w:rsid w:val="00925D5A"/>
    <w:rsid w:val="0094618C"/>
    <w:rsid w:val="00975DA7"/>
    <w:rsid w:val="00980B82"/>
    <w:rsid w:val="009827FE"/>
    <w:rsid w:val="009C1050"/>
    <w:rsid w:val="009C5011"/>
    <w:rsid w:val="009E0B5D"/>
    <w:rsid w:val="00A3462D"/>
    <w:rsid w:val="00A446F8"/>
    <w:rsid w:val="00A51AFB"/>
    <w:rsid w:val="00A51F22"/>
    <w:rsid w:val="00A61AD9"/>
    <w:rsid w:val="00A91332"/>
    <w:rsid w:val="00A97B99"/>
    <w:rsid w:val="00AD7F98"/>
    <w:rsid w:val="00AF40DF"/>
    <w:rsid w:val="00B26782"/>
    <w:rsid w:val="00B50DA8"/>
    <w:rsid w:val="00B5503E"/>
    <w:rsid w:val="00B55FB2"/>
    <w:rsid w:val="00B64B62"/>
    <w:rsid w:val="00B656EF"/>
    <w:rsid w:val="00B7070D"/>
    <w:rsid w:val="00B82392"/>
    <w:rsid w:val="00B92F92"/>
    <w:rsid w:val="00B94A93"/>
    <w:rsid w:val="00BA32D9"/>
    <w:rsid w:val="00C140C3"/>
    <w:rsid w:val="00C3375F"/>
    <w:rsid w:val="00C432E7"/>
    <w:rsid w:val="00C533AC"/>
    <w:rsid w:val="00C563AA"/>
    <w:rsid w:val="00C60E5F"/>
    <w:rsid w:val="00C61BBC"/>
    <w:rsid w:val="00C77A67"/>
    <w:rsid w:val="00C83F60"/>
    <w:rsid w:val="00C86D65"/>
    <w:rsid w:val="00C938A3"/>
    <w:rsid w:val="00C95019"/>
    <w:rsid w:val="00CA36D8"/>
    <w:rsid w:val="00CB1DE0"/>
    <w:rsid w:val="00CD2395"/>
    <w:rsid w:val="00CD34F2"/>
    <w:rsid w:val="00CE10B3"/>
    <w:rsid w:val="00CE651C"/>
    <w:rsid w:val="00CF2415"/>
    <w:rsid w:val="00D07DDC"/>
    <w:rsid w:val="00D137B5"/>
    <w:rsid w:val="00D26705"/>
    <w:rsid w:val="00D53B12"/>
    <w:rsid w:val="00D965F4"/>
    <w:rsid w:val="00DF302D"/>
    <w:rsid w:val="00E00580"/>
    <w:rsid w:val="00E03882"/>
    <w:rsid w:val="00E047E5"/>
    <w:rsid w:val="00E054A0"/>
    <w:rsid w:val="00E06926"/>
    <w:rsid w:val="00E32C3A"/>
    <w:rsid w:val="00E43E86"/>
    <w:rsid w:val="00E573BB"/>
    <w:rsid w:val="00E729C5"/>
    <w:rsid w:val="00E829BE"/>
    <w:rsid w:val="00E92CDD"/>
    <w:rsid w:val="00E966C9"/>
    <w:rsid w:val="00E96DC5"/>
    <w:rsid w:val="00EA1B05"/>
    <w:rsid w:val="00EB64B6"/>
    <w:rsid w:val="00EC56C2"/>
    <w:rsid w:val="00EF4346"/>
    <w:rsid w:val="00F06685"/>
    <w:rsid w:val="00F11CEE"/>
    <w:rsid w:val="00F26438"/>
    <w:rsid w:val="00F41122"/>
    <w:rsid w:val="00F4281C"/>
    <w:rsid w:val="00F610BB"/>
    <w:rsid w:val="00F7027E"/>
    <w:rsid w:val="00F71C74"/>
    <w:rsid w:val="00F771FC"/>
    <w:rsid w:val="00F80DEE"/>
    <w:rsid w:val="00F8543A"/>
    <w:rsid w:val="00F9097E"/>
    <w:rsid w:val="00FA5172"/>
    <w:rsid w:val="00FA6C8D"/>
    <w:rsid w:val="00FB0D19"/>
    <w:rsid w:val="010121B4"/>
    <w:rsid w:val="01FB5C4F"/>
    <w:rsid w:val="02102371"/>
    <w:rsid w:val="02262316"/>
    <w:rsid w:val="0314419D"/>
    <w:rsid w:val="043A06FC"/>
    <w:rsid w:val="047C49E9"/>
    <w:rsid w:val="05344197"/>
    <w:rsid w:val="05802F92"/>
    <w:rsid w:val="05CC0E93"/>
    <w:rsid w:val="064F2365"/>
    <w:rsid w:val="081F20EE"/>
    <w:rsid w:val="08AE69CD"/>
    <w:rsid w:val="09DE12BD"/>
    <w:rsid w:val="0B0E7430"/>
    <w:rsid w:val="0B4E3A9D"/>
    <w:rsid w:val="0B97468A"/>
    <w:rsid w:val="0C493935"/>
    <w:rsid w:val="0CE0512D"/>
    <w:rsid w:val="0E064F10"/>
    <w:rsid w:val="0F6B5ADC"/>
    <w:rsid w:val="11755B31"/>
    <w:rsid w:val="11A021F8"/>
    <w:rsid w:val="12845CEE"/>
    <w:rsid w:val="12995C93"/>
    <w:rsid w:val="12B02035"/>
    <w:rsid w:val="13072A44"/>
    <w:rsid w:val="13191B7B"/>
    <w:rsid w:val="140B4870"/>
    <w:rsid w:val="14576EEE"/>
    <w:rsid w:val="14EE06E6"/>
    <w:rsid w:val="15663828"/>
    <w:rsid w:val="158717DE"/>
    <w:rsid w:val="15BC4236"/>
    <w:rsid w:val="168C360A"/>
    <w:rsid w:val="16E0103C"/>
    <w:rsid w:val="17442DB9"/>
    <w:rsid w:val="17BA1AFE"/>
    <w:rsid w:val="18D57CCC"/>
    <w:rsid w:val="19420680"/>
    <w:rsid w:val="19584A22"/>
    <w:rsid w:val="19782D58"/>
    <w:rsid w:val="1D1E6052"/>
    <w:rsid w:val="1DEC1F22"/>
    <w:rsid w:val="1E387E23"/>
    <w:rsid w:val="1E4361B4"/>
    <w:rsid w:val="1F684164"/>
    <w:rsid w:val="206261AF"/>
    <w:rsid w:val="22551E62"/>
    <w:rsid w:val="23906366"/>
    <w:rsid w:val="24335B6F"/>
    <w:rsid w:val="247321DC"/>
    <w:rsid w:val="25171665"/>
    <w:rsid w:val="254215B0"/>
    <w:rsid w:val="25DA2A28"/>
    <w:rsid w:val="26A86578"/>
    <w:rsid w:val="287A7AF8"/>
    <w:rsid w:val="28D14C84"/>
    <w:rsid w:val="29453572"/>
    <w:rsid w:val="29E14AC1"/>
    <w:rsid w:val="2A2D713F"/>
    <w:rsid w:val="2A8F5EDF"/>
    <w:rsid w:val="2A994270"/>
    <w:rsid w:val="2AF00502"/>
    <w:rsid w:val="2C55584A"/>
    <w:rsid w:val="2D0568E8"/>
    <w:rsid w:val="2D7B562D"/>
    <w:rsid w:val="2F02092C"/>
    <w:rsid w:val="2F835A02"/>
    <w:rsid w:val="305D3167"/>
    <w:rsid w:val="314800DC"/>
    <w:rsid w:val="31576C02"/>
    <w:rsid w:val="31AE7611"/>
    <w:rsid w:val="32460A89"/>
    <w:rsid w:val="32A77828"/>
    <w:rsid w:val="334A28B5"/>
    <w:rsid w:val="3621205E"/>
    <w:rsid w:val="366D46DB"/>
    <w:rsid w:val="36782A6C"/>
    <w:rsid w:val="36A46DB4"/>
    <w:rsid w:val="36B934D6"/>
    <w:rsid w:val="3751494E"/>
    <w:rsid w:val="37D416A4"/>
    <w:rsid w:val="380D6333"/>
    <w:rsid w:val="38AC7189"/>
    <w:rsid w:val="38EE7BF2"/>
    <w:rsid w:val="39037B98"/>
    <w:rsid w:val="395A05A6"/>
    <w:rsid w:val="399B1010"/>
    <w:rsid w:val="3A8A671A"/>
    <w:rsid w:val="3B6405FB"/>
    <w:rsid w:val="3C111A19"/>
    <w:rsid w:val="3C1C7DAA"/>
    <w:rsid w:val="3CC911C7"/>
    <w:rsid w:val="3DB868D1"/>
    <w:rsid w:val="3E0F3A5D"/>
    <w:rsid w:val="3F3F1BD0"/>
    <w:rsid w:val="3F551B76"/>
    <w:rsid w:val="3FA51AEF"/>
    <w:rsid w:val="3FAB2584"/>
    <w:rsid w:val="409A440B"/>
    <w:rsid w:val="40D16AE4"/>
    <w:rsid w:val="41EA5032"/>
    <w:rsid w:val="42780119"/>
    <w:rsid w:val="4278399C"/>
    <w:rsid w:val="430262EF"/>
    <w:rsid w:val="4409502C"/>
    <w:rsid w:val="44605A3B"/>
    <w:rsid w:val="4586581D"/>
    <w:rsid w:val="48054938"/>
    <w:rsid w:val="49B87801"/>
    <w:rsid w:val="49C3230F"/>
    <w:rsid w:val="4A4F0FFA"/>
    <w:rsid w:val="4AB27A19"/>
    <w:rsid w:val="4B35476F"/>
    <w:rsid w:val="4C4F511B"/>
    <w:rsid w:val="4C632C63"/>
    <w:rsid w:val="4C906FAA"/>
    <w:rsid w:val="4D280422"/>
    <w:rsid w:val="4D8971C2"/>
    <w:rsid w:val="4ED97DE9"/>
    <w:rsid w:val="4F9C11AB"/>
    <w:rsid w:val="505E043D"/>
    <w:rsid w:val="508B3032"/>
    <w:rsid w:val="50D756B0"/>
    <w:rsid w:val="523E5EFC"/>
    <w:rsid w:val="52F92B19"/>
    <w:rsid w:val="531639E1"/>
    <w:rsid w:val="53211D72"/>
    <w:rsid w:val="54055868"/>
    <w:rsid w:val="544662D1"/>
    <w:rsid w:val="54514662"/>
    <w:rsid w:val="5638698C"/>
    <w:rsid w:val="56707EE0"/>
    <w:rsid w:val="56DC5010"/>
    <w:rsid w:val="57B62775"/>
    <w:rsid w:val="580D3184"/>
    <w:rsid w:val="584E3BED"/>
    <w:rsid w:val="58633B93"/>
    <w:rsid w:val="587902B5"/>
    <w:rsid w:val="59317A63"/>
    <w:rsid w:val="593276E3"/>
    <w:rsid w:val="59A96428"/>
    <w:rsid w:val="59F50AA6"/>
    <w:rsid w:val="59F55223"/>
    <w:rsid w:val="5AC24977"/>
    <w:rsid w:val="5ACF2987"/>
    <w:rsid w:val="5BB167FD"/>
    <w:rsid w:val="5C3F5168"/>
    <w:rsid w:val="5C60789B"/>
    <w:rsid w:val="5CE24971"/>
    <w:rsid w:val="5D0C1038"/>
    <w:rsid w:val="5DA33C1E"/>
    <w:rsid w:val="5DB004C1"/>
    <w:rsid w:val="5EDF69B5"/>
    <w:rsid w:val="611600CA"/>
    <w:rsid w:val="61407419"/>
    <w:rsid w:val="620F67EC"/>
    <w:rsid w:val="625911EA"/>
    <w:rsid w:val="62A07788"/>
    <w:rsid w:val="637473B8"/>
    <w:rsid w:val="637F5749"/>
    <w:rsid w:val="648E5907"/>
    <w:rsid w:val="66AD5901"/>
    <w:rsid w:val="67FD1DAB"/>
    <w:rsid w:val="6808013C"/>
    <w:rsid w:val="682A60F2"/>
    <w:rsid w:val="690C1F68"/>
    <w:rsid w:val="6A1D1DA5"/>
    <w:rsid w:val="6A5E280F"/>
    <w:rsid w:val="6A736F31"/>
    <w:rsid w:val="6A7E0B45"/>
    <w:rsid w:val="6A935267"/>
    <w:rsid w:val="6A9E6E7B"/>
    <w:rsid w:val="6BAE6CB9"/>
    <w:rsid w:val="6C0576C7"/>
    <w:rsid w:val="6C25217A"/>
    <w:rsid w:val="6C7C2B89"/>
    <w:rsid w:val="6C8A79D5"/>
    <w:rsid w:val="6C9D0B3F"/>
    <w:rsid w:val="6D147885"/>
    <w:rsid w:val="6D293FA7"/>
    <w:rsid w:val="6D4B1F5D"/>
    <w:rsid w:val="6D8C29C6"/>
    <w:rsid w:val="6DAC0CFD"/>
    <w:rsid w:val="6DCC7033"/>
    <w:rsid w:val="6F452B2A"/>
    <w:rsid w:val="6F483FA1"/>
    <w:rsid w:val="6FE10C9C"/>
    <w:rsid w:val="70BA2B7E"/>
    <w:rsid w:val="717D06BD"/>
    <w:rsid w:val="719D69F4"/>
    <w:rsid w:val="720A7028"/>
    <w:rsid w:val="722A1ADB"/>
    <w:rsid w:val="723536EF"/>
    <w:rsid w:val="724A7E11"/>
    <w:rsid w:val="72A10820"/>
    <w:rsid w:val="73651863"/>
    <w:rsid w:val="73816765"/>
    <w:rsid w:val="74AB40F8"/>
    <w:rsid w:val="74EC4B62"/>
    <w:rsid w:val="75435570"/>
    <w:rsid w:val="75581C92"/>
    <w:rsid w:val="758F436B"/>
    <w:rsid w:val="75AF26A1"/>
    <w:rsid w:val="763273F7"/>
    <w:rsid w:val="765C3ABF"/>
    <w:rsid w:val="76CA086F"/>
    <w:rsid w:val="772B760F"/>
    <w:rsid w:val="776F6FC2"/>
    <w:rsid w:val="778D1C32"/>
    <w:rsid w:val="77C4430A"/>
    <w:rsid w:val="77F96D63"/>
    <w:rsid w:val="78A60180"/>
    <w:rsid w:val="78B26191"/>
    <w:rsid w:val="7B943CCB"/>
    <w:rsid w:val="7D3B0B84"/>
    <w:rsid w:val="7DBE58DA"/>
    <w:rsid w:val="7DF96F41"/>
    <w:rsid w:val="7EAB7AE1"/>
    <w:rsid w:val="7EC37706"/>
    <w:rsid w:val="7EED3DCE"/>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nhideWhenUsed="0" w:uiPriority="99" w:semiHidden="0" w:name="toc 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uiPriority="0" w:name="footnote text" w:locked="1"/>
    <w:lsdException w:uiPriority="0" w:name="annotation text" w:locked="1"/>
    <w:lsdException w:unhideWhenUsed="0" w:uiPriority="99" w:semiHidden="0" w:name="header"/>
    <w:lsdException w:unhideWhenUsed="0" w:uiPriority="99" w:semiHidden="0"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unhideWhenUsed="0" w:uiPriority="99"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nhideWhenUsed="0" w:uiPriority="99" w:semiHidden="0" w:name="Body Text Indent 2"/>
    <w:lsdException w:uiPriority="0" w:name="Body Text Indent 3" w:locked="1"/>
    <w:lsdException w:uiPriority="0" w:name="Block Text" w:locked="1"/>
    <w:lsdException w:unhideWhenUsed="0" w:uiPriority="99" w:semiHidden="0" w:name="Hyperlink"/>
    <w:lsdException w:uiPriority="0" w:name="FollowedHyperlink" w:locked="1"/>
    <w:lsdException w:qFormat="1" w:unhideWhenUsed="0" w:uiPriority="99" w:semiHidden="0" w:name="Strong"/>
    <w:lsdException w:qFormat="1" w:unhideWhenUsed="0" w:uiPriority="20" w:semiHidden="0" w:name="Emphasis" w:locked="1"/>
    <w:lsdException w:uiPriority="0" w:name="Document Map" w:locked="1"/>
    <w:lsdException w:unhideWhenUsed="0" w:uiPriority="99" w:semiHidden="0" w:name="Plain Text"/>
    <w:lsdException w:uiPriority="0" w:name="E-mail Signature" w:locked="1"/>
    <w:lsdException w:unhideWhenUsed="0" w:uiPriority="99" w:semiHidden="0" w:name="Normal (Web)"/>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semiHidden="0"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nhideWhenUsed="0" w:uiPriority="99" w:semiHidden="0" w:name="Balloon Text"/>
    <w:lsdException w:unhideWhenUsed="0" w:uiPriority="59" w:semiHidden="0" w:name="Table Grid" w:locked="1"/>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31"/>
    <w:qFormat/>
    <w:uiPriority w:val="99"/>
    <w:pPr>
      <w:keepNext/>
      <w:keepLines/>
      <w:spacing w:before="340" w:after="330" w:line="578" w:lineRule="auto"/>
      <w:outlineLvl w:val="0"/>
    </w:pPr>
    <w:rPr>
      <w:rFonts w:ascii="Times New Roman" w:hAnsi="Times New Roman" w:cs="Times New Roman"/>
      <w:b/>
      <w:bCs/>
      <w:kern w:val="44"/>
      <w:sz w:val="44"/>
      <w:szCs w:val="44"/>
    </w:rPr>
  </w:style>
  <w:style w:type="character" w:default="1" w:styleId="10">
    <w:name w:val="Default Paragraph Font"/>
    <w:semiHidden/>
    <w:uiPriority w:val="99"/>
  </w:style>
  <w:style w:type="table" w:default="1" w:styleId="14">
    <w:name w:val="Normal Table"/>
    <w:unhideWhenUsed/>
    <w:qFormat/>
    <w:uiPriority w:val="99"/>
    <w:tblPr>
      <w:tblStyle w:val="14"/>
      <w:tblLayout w:type="fixed"/>
      <w:tblCellMar>
        <w:top w:w="0" w:type="dxa"/>
        <w:left w:w="108" w:type="dxa"/>
        <w:bottom w:w="0" w:type="dxa"/>
        <w:right w:w="108" w:type="dxa"/>
      </w:tblCellMar>
    </w:tblPr>
    <w:tcPr>
      <w:textDirection w:val="lrTb"/>
    </w:tcPr>
  </w:style>
  <w:style w:type="paragraph" w:styleId="3">
    <w:name w:val="Plain Text"/>
    <w:basedOn w:val="1"/>
    <w:link w:val="32"/>
    <w:uiPriority w:val="99"/>
    <w:pPr>
      <w:widowControl/>
      <w:spacing w:before="100" w:beforeAutospacing="1" w:after="100" w:afterAutospacing="1"/>
      <w:jc w:val="left"/>
    </w:pPr>
    <w:rPr>
      <w:rFonts w:ascii="宋体" w:hAnsi="宋体" w:cs="Times New Roman"/>
      <w:kern w:val="0"/>
      <w:sz w:val="24"/>
      <w:szCs w:val="24"/>
    </w:rPr>
  </w:style>
  <w:style w:type="paragraph" w:styleId="4">
    <w:name w:val="Body Text Indent 2"/>
    <w:basedOn w:val="1"/>
    <w:link w:val="33"/>
    <w:uiPriority w:val="99"/>
    <w:pPr>
      <w:spacing w:line="312" w:lineRule="atLeast"/>
      <w:ind w:firstLine="630" w:firstLineChars="225"/>
    </w:pPr>
    <w:rPr>
      <w:rFonts w:ascii="仿宋_GB2312" w:eastAsia="仿宋_GB2312" w:cs="Times New Roman"/>
      <w:kern w:val="0"/>
      <w:sz w:val="32"/>
      <w:szCs w:val="20"/>
    </w:rPr>
  </w:style>
  <w:style w:type="paragraph" w:styleId="5">
    <w:name w:val="Balloon Text"/>
    <w:basedOn w:val="1"/>
    <w:link w:val="34"/>
    <w:uiPriority w:val="99"/>
    <w:rPr>
      <w:rFonts w:cs="Times New Roman"/>
      <w:kern w:val="0"/>
      <w:sz w:val="18"/>
      <w:szCs w:val="18"/>
    </w:rPr>
  </w:style>
  <w:style w:type="paragraph" w:styleId="6">
    <w:name w:val="footer"/>
    <w:basedOn w:val="1"/>
    <w:link w:val="35"/>
    <w:uiPriority w:val="99"/>
    <w:pPr>
      <w:tabs>
        <w:tab w:val="center" w:pos="4153"/>
        <w:tab w:val="right" w:pos="8306"/>
      </w:tabs>
      <w:snapToGrid w:val="0"/>
      <w:jc w:val="left"/>
    </w:pPr>
    <w:rPr>
      <w:rFonts w:ascii="Times New Roman" w:hAnsi="Times New Roman" w:cs="Times New Roman"/>
      <w:kern w:val="0"/>
      <w:sz w:val="18"/>
      <w:szCs w:val="18"/>
    </w:rPr>
  </w:style>
  <w:style w:type="paragraph" w:styleId="7">
    <w:name w:val="header"/>
    <w:basedOn w:val="1"/>
    <w:link w:val="36"/>
    <w:uiPriority w:val="99"/>
    <w:pPr>
      <w:pBdr>
        <w:bottom w:val="single" w:color="auto" w:sz="6" w:space="1"/>
      </w:pBdr>
      <w:tabs>
        <w:tab w:val="center" w:pos="4153"/>
        <w:tab w:val="right" w:pos="8306"/>
      </w:tabs>
      <w:snapToGrid w:val="0"/>
      <w:jc w:val="center"/>
    </w:pPr>
    <w:rPr>
      <w:rFonts w:ascii="Times New Roman" w:hAnsi="Times New Roman" w:cs="Times New Roman"/>
      <w:kern w:val="0"/>
      <w:sz w:val="18"/>
      <w:szCs w:val="18"/>
    </w:rPr>
  </w:style>
  <w:style w:type="paragraph" w:styleId="8">
    <w:name w:val="toc 1"/>
    <w:basedOn w:val="1"/>
    <w:next w:val="1"/>
    <w:uiPriority w:val="99"/>
    <w:rPr>
      <w:rFonts w:ascii="Times New Roman" w:hAnsi="Times New Roman" w:cs="Times New Roman"/>
      <w:szCs w:val="20"/>
    </w:rPr>
  </w:style>
  <w:style w:type="paragraph" w:styleId="9">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11">
    <w:name w:val="Strong"/>
    <w:basedOn w:val="10"/>
    <w:qFormat/>
    <w:uiPriority w:val="99"/>
    <w:rPr>
      <w:rFonts w:cs="Times New Roman"/>
      <w:b/>
    </w:rPr>
  </w:style>
  <w:style w:type="character" w:styleId="12">
    <w:name w:val="page number"/>
    <w:basedOn w:val="10"/>
    <w:uiPriority w:val="99"/>
    <w:rPr>
      <w:rFonts w:cs="Times New Roman"/>
    </w:rPr>
  </w:style>
  <w:style w:type="character" w:styleId="13">
    <w:name w:val="Hyperlink"/>
    <w:basedOn w:val="10"/>
    <w:uiPriority w:val="99"/>
    <w:rPr>
      <w:rFonts w:cs="Times New Roman"/>
      <w:color w:val="0000FF"/>
      <w:u w:val="single"/>
    </w:rPr>
  </w:style>
  <w:style w:type="paragraph" w:customStyle="1" w:styleId="15">
    <w:name w:val="p17"/>
    <w:basedOn w:val="1"/>
    <w:uiPriority w:val="99"/>
    <w:pPr>
      <w:widowControl/>
      <w:spacing w:before="100" w:after="100"/>
      <w:jc w:val="left"/>
    </w:pPr>
    <w:rPr>
      <w:rFonts w:ascii="宋体" w:hAnsi="宋体" w:cs="宋体"/>
      <w:kern w:val="0"/>
      <w:sz w:val="24"/>
      <w:szCs w:val="24"/>
    </w:rPr>
  </w:style>
  <w:style w:type="paragraph" w:customStyle="1" w:styleId="16">
    <w:name w:val="cjk"/>
    <w:basedOn w:val="1"/>
    <w:uiPriority w:val="99"/>
    <w:pPr>
      <w:widowControl/>
      <w:spacing w:before="100" w:beforeAutospacing="1" w:after="142" w:line="288" w:lineRule="auto"/>
    </w:pPr>
    <w:rPr>
      <w:rFonts w:ascii="宋体" w:hAnsi="宋体" w:cs="宋体"/>
      <w:kern w:val="0"/>
      <w:sz w:val="20"/>
      <w:szCs w:val="20"/>
    </w:rPr>
  </w:style>
  <w:style w:type="paragraph" w:customStyle="1" w:styleId="17">
    <w:name w:val="列出段落1"/>
    <w:basedOn w:val="1"/>
    <w:uiPriority w:val="99"/>
    <w:pPr>
      <w:ind w:firstLine="420" w:firstLineChars="200"/>
    </w:pPr>
    <w:rPr>
      <w:rFonts w:cs="Times New Roman"/>
    </w:rPr>
  </w:style>
  <w:style w:type="paragraph" w:customStyle="1" w:styleId="18">
    <w:name w:val="bh"/>
    <w:basedOn w:val="1"/>
    <w:uiPriority w:val="99"/>
    <w:pPr>
      <w:jc w:val="left"/>
    </w:pPr>
    <w:rPr>
      <w:sz w:val="24"/>
    </w:rPr>
  </w:style>
  <w:style w:type="paragraph" w:customStyle="1" w:styleId="19">
    <w:name w:val="列出段落2"/>
    <w:basedOn w:val="1"/>
    <w:uiPriority w:val="99"/>
    <w:pPr>
      <w:ind w:firstLine="420"/>
    </w:pPr>
  </w:style>
  <w:style w:type="paragraph" w:customStyle="1" w:styleId="20">
    <w:name w:val="zw"/>
    <w:basedOn w:val="1"/>
    <w:uiPriority w:val="99"/>
    <w:pPr>
      <w:widowControl/>
      <w:spacing w:before="30"/>
      <w:ind w:left="100" w:right="100"/>
    </w:pPr>
    <w:rPr>
      <w:rFonts w:ascii="方正书宋简体" w:hAnsi="宋体" w:eastAsia="方正书宋简体"/>
      <w:color w:val="000000"/>
      <w:sz w:val="34"/>
    </w:rPr>
  </w:style>
  <w:style w:type="paragraph" w:customStyle="1" w:styleId="21">
    <w:name w:val="页脚1"/>
    <w:basedOn w:val="1"/>
    <w:uiPriority w:val="99"/>
    <w:pPr>
      <w:tabs>
        <w:tab w:val="center" w:pos="4153"/>
        <w:tab w:val="right" w:pos="8306"/>
      </w:tabs>
      <w:jc w:val="left"/>
    </w:pPr>
    <w:rPr>
      <w:sz w:val="18"/>
    </w:rPr>
  </w:style>
  <w:style w:type="paragraph" w:customStyle="1" w:styleId="22">
    <w:name w:val="普通(网站)1"/>
    <w:basedOn w:val="1"/>
    <w:uiPriority w:val="99"/>
    <w:pPr>
      <w:widowControl/>
      <w:spacing w:before="100" w:beforeAutospacing="1" w:after="100" w:afterAutospacing="1"/>
      <w:jc w:val="left"/>
    </w:pPr>
    <w:rPr>
      <w:rFonts w:ascii="宋体" w:hAnsi="宋体"/>
      <w:sz w:val="24"/>
    </w:rPr>
  </w:style>
  <w:style w:type="paragraph" w:customStyle="1" w:styleId="23">
    <w:name w:val="标题 11"/>
    <w:basedOn w:val="1"/>
    <w:uiPriority w:val="99"/>
    <w:pPr>
      <w:widowControl/>
      <w:spacing w:before="278" w:after="278" w:line="576" w:lineRule="auto"/>
      <w:outlineLvl w:val="0"/>
    </w:pPr>
    <w:rPr>
      <w:rFonts w:ascii="Times New Roman" w:hAnsi="Times New Roman" w:cs="Times New Roman"/>
      <w:b/>
      <w:bCs/>
      <w:kern w:val="44"/>
      <w:sz w:val="44"/>
      <w:szCs w:val="44"/>
    </w:rPr>
  </w:style>
  <w:style w:type="paragraph" w:customStyle="1" w:styleId="24">
    <w:name w:val="p0"/>
    <w:basedOn w:val="1"/>
    <w:uiPriority w:val="99"/>
    <w:pPr>
      <w:widowControl/>
      <w:spacing w:before="100" w:beforeAutospacing="1" w:after="100" w:afterAutospacing="1"/>
      <w:jc w:val="left"/>
    </w:pPr>
    <w:rPr>
      <w:rFonts w:ascii="宋体" w:hAnsi="宋体"/>
      <w:sz w:val="24"/>
    </w:rPr>
  </w:style>
  <w:style w:type="paragraph" w:customStyle="1" w:styleId="25">
    <w:name w:val="List Paragraph1"/>
    <w:basedOn w:val="1"/>
    <w:uiPriority w:val="99"/>
    <w:pPr>
      <w:ind w:firstLine="420" w:firstLineChars="200"/>
    </w:pPr>
    <w:rPr>
      <w:rFonts w:cs="Times New Roman"/>
    </w:rPr>
  </w:style>
  <w:style w:type="paragraph" w:customStyle="1" w:styleId="26">
    <w:name w:val="Char Char Char2 Char"/>
    <w:basedOn w:val="1"/>
    <w:uiPriority w:val="99"/>
    <w:rPr>
      <w:rFonts w:ascii="Times New Roman" w:hAnsi="Times New Roman" w:cs="Times New Roman"/>
      <w:szCs w:val="20"/>
    </w:rPr>
  </w:style>
  <w:style w:type="paragraph" w:customStyle="1" w:styleId="27">
    <w:name w:val="Char Char"/>
    <w:basedOn w:val="1"/>
    <w:uiPriority w:val="99"/>
    <w:rPr>
      <w:rFonts w:ascii="仿宋_GB2312" w:hAnsi="Times New Roman" w:eastAsia="仿宋_GB2312" w:cs="Times New Roman"/>
      <w:b/>
      <w:sz w:val="32"/>
      <w:szCs w:val="32"/>
    </w:rPr>
  </w:style>
  <w:style w:type="paragraph" w:customStyle="1" w:styleId="28">
    <w:name w:val="reader-word-layer reader-word-s3-0"/>
    <w:basedOn w:val="1"/>
    <w:uiPriority w:val="99"/>
    <w:pPr>
      <w:widowControl/>
      <w:spacing w:before="100" w:beforeAutospacing="1" w:after="100" w:afterAutospacing="1"/>
      <w:jc w:val="left"/>
    </w:pPr>
    <w:rPr>
      <w:rFonts w:ascii="宋体" w:hAnsi="宋体" w:cs="宋体"/>
      <w:kern w:val="0"/>
      <w:sz w:val="24"/>
      <w:szCs w:val="24"/>
    </w:rPr>
  </w:style>
  <w:style w:type="paragraph" w:customStyle="1" w:styleId="29">
    <w:name w:val="reader-word-layer reader-word-s3-3"/>
    <w:basedOn w:val="1"/>
    <w:uiPriority w:val="99"/>
    <w:pPr>
      <w:widowControl/>
      <w:spacing w:before="100" w:beforeAutospacing="1" w:after="100" w:afterAutospacing="1"/>
      <w:jc w:val="left"/>
    </w:pPr>
    <w:rPr>
      <w:rFonts w:ascii="宋体" w:hAnsi="宋体" w:cs="宋体"/>
      <w:kern w:val="0"/>
      <w:sz w:val="24"/>
      <w:szCs w:val="24"/>
    </w:rPr>
  </w:style>
  <w:style w:type="paragraph" w:customStyle="1" w:styleId="30">
    <w:name w:val="tc"/>
    <w:basedOn w:val="1"/>
    <w:uiPriority w:val="99"/>
    <w:pPr>
      <w:widowControl/>
      <w:spacing w:before="30"/>
      <w:jc w:val="center"/>
    </w:pPr>
    <w:rPr>
      <w:rFonts w:ascii="黑体" w:hAnsi="宋体" w:eastAsia="黑体" w:cs="Times New Roman"/>
      <w:color w:val="000000"/>
      <w:kern w:val="0"/>
      <w:sz w:val="36"/>
      <w:szCs w:val="36"/>
    </w:rPr>
  </w:style>
  <w:style w:type="character" w:customStyle="1" w:styleId="31">
    <w:name w:val="Heading 1 Char"/>
    <w:basedOn w:val="10"/>
    <w:link w:val="2"/>
    <w:locked/>
    <w:uiPriority w:val="99"/>
    <w:rPr>
      <w:rFonts w:ascii="Times New Roman" w:hAnsi="Times New Roman" w:eastAsia="宋体" w:cs="Times New Roman"/>
      <w:b/>
      <w:kern w:val="44"/>
      <w:sz w:val="44"/>
    </w:rPr>
  </w:style>
  <w:style w:type="character" w:customStyle="1" w:styleId="32">
    <w:name w:val="Plain Text Char"/>
    <w:basedOn w:val="10"/>
    <w:link w:val="3"/>
    <w:locked/>
    <w:uiPriority w:val="99"/>
    <w:rPr>
      <w:rFonts w:ascii="宋体" w:hAnsi="宋体" w:eastAsia="宋体" w:cs="Times New Roman"/>
      <w:kern w:val="0"/>
      <w:sz w:val="24"/>
    </w:rPr>
  </w:style>
  <w:style w:type="character" w:customStyle="1" w:styleId="33">
    <w:name w:val="Body Text Indent 2 Char"/>
    <w:basedOn w:val="10"/>
    <w:link w:val="4"/>
    <w:locked/>
    <w:uiPriority w:val="99"/>
    <w:rPr>
      <w:rFonts w:ascii="仿宋_GB2312" w:hAnsi="Calibri" w:eastAsia="仿宋_GB2312" w:cs="Times New Roman"/>
      <w:sz w:val="32"/>
    </w:rPr>
  </w:style>
  <w:style w:type="character" w:customStyle="1" w:styleId="34">
    <w:name w:val="Balloon Text Char"/>
    <w:basedOn w:val="10"/>
    <w:link w:val="5"/>
    <w:semiHidden/>
    <w:locked/>
    <w:uiPriority w:val="99"/>
    <w:rPr>
      <w:rFonts w:ascii="Calibri" w:hAnsi="Calibri" w:eastAsia="宋体" w:cs="Times New Roman"/>
      <w:sz w:val="18"/>
    </w:rPr>
  </w:style>
  <w:style w:type="character" w:customStyle="1" w:styleId="35">
    <w:name w:val="Footer Char"/>
    <w:basedOn w:val="10"/>
    <w:link w:val="6"/>
    <w:locked/>
    <w:uiPriority w:val="99"/>
    <w:rPr>
      <w:rFonts w:cs="Times New Roman"/>
      <w:sz w:val="18"/>
    </w:rPr>
  </w:style>
  <w:style w:type="character" w:customStyle="1" w:styleId="36">
    <w:name w:val="Header Char"/>
    <w:basedOn w:val="10"/>
    <w:link w:val="7"/>
    <w:locked/>
    <w:uiPriority w:val="99"/>
    <w:rPr>
      <w:rFonts w:cs="Times New Roman"/>
      <w:sz w:val="18"/>
    </w:rPr>
  </w:style>
  <w:style w:type="character" w:customStyle="1" w:styleId="37">
    <w:name w:val="页眉 Char1"/>
    <w:semiHidden/>
    <w:uiPriority w:val="99"/>
    <w:rPr>
      <w:rFonts w:ascii="Calibri" w:hAnsi="Calibri" w:eastAsia="宋体"/>
      <w:sz w:val="18"/>
    </w:rPr>
  </w:style>
  <w:style w:type="character" w:customStyle="1" w:styleId="38">
    <w:name w:val="页脚 Char1"/>
    <w:semiHidden/>
    <w:uiPriority w:val="99"/>
    <w:rPr>
      <w:rFonts w:ascii="Calibri" w:hAnsi="Calibri" w:eastAsia="宋体"/>
      <w:sz w:val="18"/>
    </w:rPr>
  </w:style>
  <w:style w:type="character" w:customStyle="1" w:styleId="39">
    <w:name w:val="xc1"/>
    <w:uiPriority w:val="99"/>
    <w:rPr>
      <w:color w:val="000000"/>
      <w:sz w:val="18"/>
      <w:u w:val="none"/>
    </w:rPr>
  </w:style>
  <w:style w:type="character" w:customStyle="1" w:styleId="40">
    <w:name w:val="Char Char3"/>
    <w:uiPriority w:val="99"/>
    <w:rPr>
      <w:rFonts w:eastAsia="宋体"/>
      <w:kern w:val="2"/>
      <w:sz w:val="18"/>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9</Pages>
  <Words>645</Words>
  <Characters>3677</Characters>
  <Lines>0</Lines>
  <Paragraphs>0</Paragraphs>
  <ScaleCrop>false</ScaleCrop>
  <LinksUpToDate>false</LinksUpToDate>
  <CharactersWithSpaces>0</CharactersWithSpaces>
  <Application>WPS Office_9.1.0.5108_{F1E327BC-269C-435d-A152-05C5408002CA}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2015-03-05T08:49:00Z</dcterms:created>
  <dc:creator>zhuoyue</dc:creator>
  <cp:lastModifiedBy>lenovo</cp:lastModifiedBy>
  <cp:lastPrinted>2015-05-27T05:44:00Z</cp:lastPrinted>
  <dcterms:modified xsi:type="dcterms:W3CDTF">2015-06-19T08:00:15Z</dcterms:modified>
  <dc:title>富阳市卫生局责任清单</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2052-9.1.0.5108</vt:lpwstr>
  </property>
  <property fmtid="{D5CDD505-2E9C-101B-9397-08002B2CF9AE}" pid="3" name="_DocHome">
    <vt:r8>1280757319</vt:r8>
  </property>
</Properties>
</file>