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仿宋" w:hAnsi="仿宋" w:eastAsia="仿宋" w:cs="仿宋"/>
          <w:b/>
          <w:bCs/>
          <w:color w:val="000000"/>
          <w:kern w:val="0"/>
          <w:sz w:val="40"/>
          <w:szCs w:val="40"/>
          <w:lang w:eastAsia="zh-CN"/>
        </w:rPr>
      </w:pPr>
      <w:r>
        <w:rPr>
          <w:rFonts w:hint="eastAsia" w:ascii="仿宋" w:hAnsi="仿宋" w:eastAsia="仿宋" w:cs="仿宋"/>
          <w:b/>
          <w:bCs/>
          <w:color w:val="000000"/>
          <w:kern w:val="0"/>
          <w:sz w:val="40"/>
          <w:szCs w:val="40"/>
          <w:lang w:eastAsia="zh-CN"/>
        </w:rPr>
        <w:t>成安县承接省政府部门决定取消的行政许可事项目录</w:t>
      </w:r>
    </w:p>
    <w:p>
      <w:pPr>
        <w:autoSpaceDE w:val="0"/>
        <w:autoSpaceDN w:val="0"/>
        <w:adjustRightInd w:val="0"/>
        <w:jc w:val="center"/>
        <w:rPr>
          <w:rFonts w:hint="eastAsia" w:ascii="黑体" w:hAnsi="黑体" w:eastAsia="黑体" w:cs="黑体"/>
          <w:b/>
          <w:bCs/>
          <w:color w:val="000000"/>
          <w:kern w:val="0"/>
          <w:sz w:val="44"/>
          <w:szCs w:val="44"/>
          <w:lang w:eastAsia="zh-CN"/>
        </w:rPr>
      </w:pPr>
      <w:r>
        <w:rPr>
          <w:rFonts w:hint="eastAsia" w:ascii="仿宋" w:hAnsi="仿宋" w:eastAsia="仿宋" w:cs="仿宋"/>
          <w:b/>
          <w:bCs/>
          <w:color w:val="000000"/>
          <w:kern w:val="0"/>
          <w:sz w:val="40"/>
          <w:szCs w:val="40"/>
          <w:lang w:eastAsia="zh-CN"/>
        </w:rPr>
        <w:t>（共</w:t>
      </w:r>
      <w:r>
        <w:rPr>
          <w:rFonts w:hint="eastAsia" w:ascii="仿宋" w:hAnsi="仿宋" w:eastAsia="仿宋" w:cs="仿宋"/>
          <w:b/>
          <w:bCs/>
          <w:color w:val="000000"/>
          <w:kern w:val="0"/>
          <w:sz w:val="40"/>
          <w:szCs w:val="40"/>
          <w:lang w:val="en-US" w:eastAsia="zh-CN"/>
        </w:rPr>
        <w:t>4项</w:t>
      </w:r>
      <w:r>
        <w:rPr>
          <w:rFonts w:hint="eastAsia" w:ascii="仿宋" w:hAnsi="仿宋" w:eastAsia="仿宋" w:cs="仿宋"/>
          <w:b/>
          <w:bCs/>
          <w:color w:val="000000"/>
          <w:kern w:val="0"/>
          <w:sz w:val="40"/>
          <w:szCs w:val="40"/>
          <w:lang w:eastAsia="zh-CN"/>
        </w:rPr>
        <w:t>）</w:t>
      </w:r>
    </w:p>
    <w:p>
      <w:pPr>
        <w:autoSpaceDE w:val="0"/>
        <w:autoSpaceDN w:val="0"/>
        <w:adjustRightInd w:val="0"/>
        <w:jc w:val="both"/>
        <w:rPr>
          <w:rFonts w:hint="eastAsia" w:ascii="黑体" w:eastAsia="黑体" w:cs="黑体"/>
          <w:color w:val="000000"/>
          <w:kern w:val="0"/>
          <w:szCs w:val="21"/>
        </w:rPr>
      </w:pPr>
    </w:p>
    <w:tbl>
      <w:tblPr>
        <w:tblStyle w:val="3"/>
        <w:tblW w:w="14012" w:type="dxa"/>
        <w:tblInd w:w="0" w:type="dxa"/>
        <w:tblLayout w:type="fixed"/>
        <w:tblCellMar>
          <w:top w:w="0" w:type="dxa"/>
          <w:left w:w="30" w:type="dxa"/>
          <w:bottom w:w="0" w:type="dxa"/>
          <w:right w:w="30" w:type="dxa"/>
        </w:tblCellMar>
      </w:tblPr>
      <w:tblGrid>
        <w:gridCol w:w="339"/>
        <w:gridCol w:w="1312"/>
        <w:gridCol w:w="1440"/>
        <w:gridCol w:w="1414"/>
        <w:gridCol w:w="3944"/>
        <w:gridCol w:w="3282"/>
        <w:gridCol w:w="1000"/>
        <w:gridCol w:w="1281"/>
      </w:tblGrid>
      <w:tr>
        <w:tblPrEx>
          <w:tblLayout w:type="fixed"/>
          <w:tblCellMar>
            <w:top w:w="0" w:type="dxa"/>
            <w:left w:w="30" w:type="dxa"/>
            <w:bottom w:w="0" w:type="dxa"/>
            <w:right w:w="30" w:type="dxa"/>
          </w:tblCellMar>
        </w:tblPrEx>
        <w:trPr>
          <w:trHeight w:val="680" w:hRule="atLeast"/>
        </w:trPr>
        <w:tc>
          <w:tcPr>
            <w:tcW w:w="3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序号</w:t>
            </w:r>
          </w:p>
        </w:tc>
        <w:tc>
          <w:tcPr>
            <w:tcW w:w="13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项目编码</w:t>
            </w: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省级实施部门</w:t>
            </w:r>
          </w:p>
        </w:tc>
        <w:tc>
          <w:tcPr>
            <w:tcW w:w="14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项目名称</w:t>
            </w:r>
          </w:p>
        </w:tc>
        <w:tc>
          <w:tcPr>
            <w:tcW w:w="394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设 定 依 据</w:t>
            </w:r>
          </w:p>
        </w:tc>
        <w:tc>
          <w:tcPr>
            <w:tcW w:w="32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取 消 依 据</w:t>
            </w:r>
          </w:p>
        </w:tc>
        <w:tc>
          <w:tcPr>
            <w:tcW w:w="10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实施部  门</w:t>
            </w:r>
          </w:p>
        </w:tc>
        <w:tc>
          <w:tcPr>
            <w:tcW w:w="128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auto"/>
                <w:kern w:val="0"/>
                <w:szCs w:val="21"/>
              </w:rPr>
            </w:pPr>
            <w:r>
              <w:rPr>
                <w:rFonts w:hint="eastAsia" w:ascii="黑体" w:eastAsia="黑体" w:cs="黑体"/>
                <w:color w:val="auto"/>
                <w:kern w:val="0"/>
                <w:szCs w:val="21"/>
              </w:rPr>
              <w:t>备 注</w:t>
            </w:r>
          </w:p>
        </w:tc>
      </w:tr>
      <w:tr>
        <w:tblPrEx>
          <w:tblLayout w:type="fixed"/>
          <w:tblCellMar>
            <w:top w:w="0" w:type="dxa"/>
            <w:left w:w="30" w:type="dxa"/>
            <w:bottom w:w="0" w:type="dxa"/>
            <w:right w:w="30" w:type="dxa"/>
          </w:tblCellMar>
        </w:tblPrEx>
        <w:trPr>
          <w:trHeight w:val="5586" w:hRule="atLeast"/>
        </w:trPr>
        <w:tc>
          <w:tcPr>
            <w:tcW w:w="339"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w:t>
            </w:r>
          </w:p>
        </w:tc>
        <w:tc>
          <w:tcPr>
            <w:tcW w:w="131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1113000000021798XK-XK-003-0000</w:t>
            </w:r>
          </w:p>
        </w:tc>
        <w:tc>
          <w:tcPr>
            <w:tcW w:w="1440"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省发展改革委、省教育厅、省人力资源社会保障厅</w:t>
            </w:r>
          </w:p>
        </w:tc>
        <w:tc>
          <w:tcPr>
            <w:tcW w:w="1414"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民办学校学历教育收费项目及标准的核定</w:t>
            </w:r>
          </w:p>
        </w:tc>
        <w:tc>
          <w:tcPr>
            <w:tcW w:w="3944"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《中华人民共和国民办教育促进法》（2002年12月28日主席令第八十号，2013年6月29日予以修改）第三十七条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《民办教育收费管理暂行办法》（发改价格〔2005〕309号）第四条</w:t>
            </w:r>
          </w:p>
        </w:tc>
        <w:tc>
          <w:tcPr>
            <w:tcW w:w="328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《关于修改＜中华人民共和国民办教育促进法＞的决定》（2016年11月7日主席令第55号，第十二届全国人民代表大会常务委员会第二十四次会议通过）第五条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《中华人民共和国民办教育促进法》(2016年11月7日第十二届全国人民代表大会常务委员会第二十四次会议第二次修正）第三十八条</w:t>
            </w:r>
          </w:p>
        </w:tc>
        <w:tc>
          <w:tcPr>
            <w:tcW w:w="1000" w:type="dxa"/>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县</w:t>
            </w:r>
            <w:r>
              <w:rPr>
                <w:rFonts w:hint="eastAsia" w:ascii="仿宋_GB2312" w:hAnsi="仿宋_GB2312" w:eastAsia="仿宋_GB2312" w:cs="仿宋_GB2312"/>
                <w:color w:val="000000"/>
                <w:kern w:val="0"/>
                <w:sz w:val="20"/>
              </w:rPr>
              <w:t>行政</w:t>
            </w:r>
          </w:p>
          <w:p>
            <w:pPr>
              <w:autoSpaceDE w:val="0"/>
              <w:autoSpaceDN w:val="0"/>
              <w:adjustRightInd w:val="0"/>
              <w:jc w:val="center"/>
              <w:rPr>
                <w:rFonts w:hint="eastAsia" w:ascii="仿宋_GB2312" w:hAnsi="仿宋_GB2312" w:eastAsia="仿宋_GB2312" w:cs="仿宋_GB2312"/>
                <w:color w:val="000000"/>
                <w:spacing w:val="-12"/>
                <w:kern w:val="0"/>
                <w:sz w:val="18"/>
                <w:szCs w:val="18"/>
              </w:rPr>
            </w:pPr>
            <w:r>
              <w:rPr>
                <w:rFonts w:hint="eastAsia" w:ascii="仿宋_GB2312" w:hAnsi="仿宋_GB2312" w:eastAsia="仿宋_GB2312" w:cs="仿宋_GB2312"/>
                <w:color w:val="000000"/>
                <w:kern w:val="0"/>
                <w:sz w:val="20"/>
              </w:rPr>
              <w:t>审批局</w:t>
            </w:r>
          </w:p>
        </w:tc>
        <w:tc>
          <w:tcPr>
            <w:tcW w:w="1281"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县行政许可11130424563246610N-XK-004-0000</w:t>
            </w:r>
          </w:p>
        </w:tc>
      </w:tr>
      <w:tr>
        <w:tblPrEx>
          <w:tblLayout w:type="fixed"/>
          <w:tblCellMar>
            <w:top w:w="0" w:type="dxa"/>
            <w:left w:w="30" w:type="dxa"/>
            <w:bottom w:w="0" w:type="dxa"/>
            <w:right w:w="30" w:type="dxa"/>
          </w:tblCellMar>
        </w:tblPrEx>
        <w:trPr>
          <w:trHeight w:val="7660" w:hRule="atLeast"/>
        </w:trPr>
        <w:tc>
          <w:tcPr>
            <w:tcW w:w="339"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val="en-US" w:eastAsia="zh-CN"/>
              </w:rPr>
              <w:t xml:space="preserve"> 2</w:t>
            </w:r>
          </w:p>
        </w:tc>
        <w:tc>
          <w:tcPr>
            <w:tcW w:w="131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000000000002180770-XK-011-0000</w:t>
            </w:r>
          </w:p>
        </w:tc>
        <w:tc>
          <w:tcPr>
            <w:tcW w:w="1440"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省环境保护厅</w:t>
            </w:r>
          </w:p>
        </w:tc>
        <w:tc>
          <w:tcPr>
            <w:tcW w:w="1414"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建设项目环境保护设施竣工验收</w:t>
            </w:r>
          </w:p>
        </w:tc>
        <w:tc>
          <w:tcPr>
            <w:tcW w:w="3944"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《中华人民共和国海洋环境保护法》（1982年8月23日主席令第九号，2013年12月28日予以修改）第四十四条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《中华人民共和国固体废物污染环境防治法》（1995年10月30日主席令第五十八号，2015年4月24日予以修改）第十四条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《中华人民共和国环境噪声污染防治法》（1996年10月29日主席令第七十七号）第十四条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《中华人民共和国水污染防治法》（1984年5月11日主席令第十二号，2008年2月28日予以修改）第十七条第三款</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《建设项目环境保护管理条例》（1998年11月29日国务院令第253号）第二十条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《中华人民共和国防治海岸工程建设项目污染损害海洋环境管理条例》（1990年6月2日国务院令第62号,2007年9月25日予以修改）第十二条</w:t>
            </w:r>
          </w:p>
        </w:tc>
        <w:tc>
          <w:tcPr>
            <w:tcW w:w="3282" w:type="dxa"/>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 xml:space="preserve"> 《国务院关于修改〈建设项目环境保护管理条例〉的决定》（国务院令第682号，2017年7月16日发布，2017年10月1日起实施）第十一条；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 xml:space="preserve"> 环境保护部《关于发布&lt;建设项目竣工环境保护验收暂行办法&gt;的公告》(国环规环评〔2017〕4号，11月22日发布)</w:t>
            </w:r>
          </w:p>
        </w:tc>
        <w:tc>
          <w:tcPr>
            <w:tcW w:w="1000" w:type="dxa"/>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县</w:t>
            </w:r>
            <w:r>
              <w:rPr>
                <w:rFonts w:hint="eastAsia" w:ascii="仿宋_GB2312" w:hAnsi="仿宋_GB2312" w:eastAsia="仿宋_GB2312" w:cs="仿宋_GB2312"/>
                <w:color w:val="000000"/>
                <w:kern w:val="0"/>
                <w:sz w:val="20"/>
              </w:rPr>
              <w:t>行政</w:t>
            </w:r>
          </w:p>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审批局</w:t>
            </w:r>
          </w:p>
        </w:tc>
        <w:tc>
          <w:tcPr>
            <w:tcW w:w="1281" w:type="dxa"/>
            <w:tcBorders>
              <w:top w:val="single" w:color="auto" w:sz="4" w:space="0"/>
              <w:left w:val="single" w:color="auto" w:sz="4" w:space="0"/>
              <w:bottom w:val="single" w:color="auto" w:sz="6" w:space="0"/>
              <w:right w:val="single" w:color="auto" w:sz="6" w:space="0"/>
            </w:tcBorders>
            <w:vAlign w:val="center"/>
          </w:tcPr>
          <w:p>
            <w:pPr>
              <w:autoSpaceDE w:val="0"/>
              <w:autoSpaceDN w:val="0"/>
              <w:adjustRightInd w:val="0"/>
              <w:spacing w:line="240" w:lineRule="exact"/>
              <w:rPr>
                <w:rFonts w:hint="eastAsia" w:ascii="仿宋_GB2312" w:hAnsi="仿宋_GB2312" w:eastAsia="仿宋_GB2312" w:cs="仿宋_GB2312"/>
                <w:color w:val="auto"/>
                <w:kern w:val="0"/>
                <w:sz w:val="20"/>
              </w:rPr>
            </w:pPr>
            <w:r>
              <w:rPr>
                <w:rFonts w:hint="eastAsia" w:ascii="仿宋_GB2312" w:hAnsi="仿宋_GB2312" w:eastAsia="仿宋_GB2312" w:cs="仿宋_GB2312"/>
                <w:color w:val="auto"/>
                <w:kern w:val="0"/>
                <w:sz w:val="20"/>
              </w:rPr>
              <w:t>建设项目配套建设水、噪声、固体废物污染防治设施的竣工验收，待《中华人民共和国水污染防治法》《中华人民共和国固体废物污染环境防治法》《中华人民共和国环境噪声污染防治法》正式实施后，再行取消。除此之外，其他污染防治设施的竣工验收一律取消</w:t>
            </w:r>
          </w:p>
          <w:p>
            <w:pPr>
              <w:autoSpaceDE w:val="0"/>
              <w:autoSpaceDN w:val="0"/>
              <w:adjustRightInd w:val="0"/>
              <w:spacing w:line="240" w:lineRule="exact"/>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20"/>
                <w:lang w:eastAsia="zh-CN"/>
              </w:rPr>
              <w:t>县行政许可</w:t>
            </w:r>
            <w:r>
              <w:rPr>
                <w:rFonts w:hint="eastAsia" w:ascii="仿宋_GB2312" w:hAnsi="仿宋_GB2312" w:eastAsia="仿宋_GB2312" w:cs="仿宋_GB2312"/>
                <w:color w:val="auto"/>
                <w:kern w:val="0"/>
                <w:sz w:val="20"/>
                <w:lang w:val="en-US" w:eastAsia="zh-CN"/>
              </w:rPr>
              <w:t>11130424782554074W-XK-005-0000</w:t>
            </w:r>
          </w:p>
        </w:tc>
      </w:tr>
      <w:tr>
        <w:tblPrEx>
          <w:tblLayout w:type="fixed"/>
          <w:tblCellMar>
            <w:top w:w="0" w:type="dxa"/>
            <w:left w:w="30" w:type="dxa"/>
            <w:bottom w:w="0" w:type="dxa"/>
            <w:right w:w="30" w:type="dxa"/>
          </w:tblCellMar>
        </w:tblPrEx>
        <w:trPr>
          <w:trHeight w:val="3296" w:hRule="atLeast"/>
        </w:trPr>
        <w:tc>
          <w:tcPr>
            <w:tcW w:w="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3</w:t>
            </w:r>
          </w:p>
        </w:tc>
        <w:tc>
          <w:tcPr>
            <w:tcW w:w="13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000000000002181730-XK-002-0000</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省交通运输厅</w:t>
            </w:r>
          </w:p>
        </w:tc>
        <w:tc>
          <w:tcPr>
            <w:tcW w:w="1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铁轮车、履带车和其他可能损害公路路面的机具在公路上行驶许可</w:t>
            </w:r>
          </w:p>
        </w:tc>
        <w:tc>
          <w:tcPr>
            <w:tcW w:w="39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《中华人民共和国公路法》（1997年7月3日主席令第86号，2009年8月27日予以修改）第四十八条</w:t>
            </w:r>
          </w:p>
        </w:tc>
        <w:tc>
          <w:tcPr>
            <w:tcW w:w="32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《全国人大常委会关于修改＜中华人民共和国对外贸易法＞等十二部法律的决定》（2016年11月7日主席令第57号，第十二届全国人民代表大会常务委员会第二十四次会议通过）第十条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《中华人民共和国公路法》（2016年11月7日第十二届全国人民代表大会常务委员会第二十四次会议修改）第四十八条</w:t>
            </w:r>
          </w:p>
        </w:tc>
        <w:tc>
          <w:tcPr>
            <w:tcW w:w="10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县</w:t>
            </w:r>
            <w:r>
              <w:rPr>
                <w:rFonts w:hint="eastAsia" w:ascii="仿宋_GB2312" w:hAnsi="仿宋_GB2312" w:eastAsia="仿宋_GB2312" w:cs="仿宋_GB2312"/>
                <w:color w:val="000000"/>
                <w:kern w:val="0"/>
                <w:sz w:val="20"/>
              </w:rPr>
              <w:t>交通</w:t>
            </w:r>
          </w:p>
          <w:p>
            <w:pPr>
              <w:autoSpaceDE w:val="0"/>
              <w:autoSpaceDN w:val="0"/>
              <w:adjustRightInd w:val="0"/>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20"/>
              </w:rPr>
              <w:t>运输局</w:t>
            </w:r>
          </w:p>
        </w:tc>
        <w:tc>
          <w:tcPr>
            <w:tcW w:w="12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eastAsia="zh-CN"/>
              </w:rPr>
              <w:t>县行政许可</w:t>
            </w:r>
            <w:r>
              <w:rPr>
                <w:rFonts w:hint="eastAsia" w:ascii="仿宋_GB2312" w:hAnsi="仿宋_GB2312" w:eastAsia="仿宋_GB2312" w:cs="仿宋_GB2312"/>
                <w:color w:val="auto"/>
                <w:kern w:val="0"/>
                <w:sz w:val="18"/>
                <w:szCs w:val="18"/>
                <w:lang w:val="en-US" w:eastAsia="zh-CN"/>
              </w:rPr>
              <w:t>1113042440304</w:t>
            </w:r>
            <w:bookmarkStart w:id="0" w:name="_GoBack"/>
            <w:bookmarkEnd w:id="0"/>
            <w:r>
              <w:rPr>
                <w:rFonts w:hint="eastAsia" w:ascii="仿宋_GB2312" w:hAnsi="仿宋_GB2312" w:eastAsia="仿宋_GB2312" w:cs="仿宋_GB2312"/>
                <w:color w:val="auto"/>
                <w:kern w:val="0"/>
                <w:sz w:val="18"/>
                <w:szCs w:val="18"/>
                <w:lang w:val="en-US" w:eastAsia="zh-CN"/>
              </w:rPr>
              <w:t>1288Y-XK-014-0000</w:t>
            </w:r>
          </w:p>
        </w:tc>
      </w:tr>
      <w:tr>
        <w:tblPrEx>
          <w:tblLayout w:type="fixed"/>
          <w:tblCellMar>
            <w:top w:w="0" w:type="dxa"/>
            <w:left w:w="30" w:type="dxa"/>
            <w:bottom w:w="0" w:type="dxa"/>
            <w:right w:w="30" w:type="dxa"/>
          </w:tblCellMar>
        </w:tblPrEx>
        <w:trPr>
          <w:trHeight w:val="3296" w:hRule="atLeast"/>
        </w:trPr>
        <w:tc>
          <w:tcPr>
            <w:tcW w:w="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4</w:t>
            </w:r>
          </w:p>
        </w:tc>
        <w:tc>
          <w:tcPr>
            <w:tcW w:w="13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000000000002184210-XK-003-0000</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省档案局</w:t>
            </w:r>
          </w:p>
        </w:tc>
        <w:tc>
          <w:tcPr>
            <w:tcW w:w="14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对出卖、转让集体所有、个人所有以及其他不属于国家所有的对国家和社会具有保存价值的或者应当保密的档案的审批</w:t>
            </w:r>
          </w:p>
        </w:tc>
        <w:tc>
          <w:tcPr>
            <w:tcW w:w="394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《中华人民共和国档案法》（1987年9月5日主席令第58号，1996年7月5日予以修改）第十六条第一款、第二款</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《中华人民共和国档案法实施办法》（1990年10月24日国务院批准，1990年11月19日国家档案局令第1号公布，1999年6月7日予以修改）第十七条</w:t>
            </w:r>
          </w:p>
        </w:tc>
        <w:tc>
          <w:tcPr>
            <w:tcW w:w="32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《关于修改＜中华人民共和国对外贸易法＞等十二部法律的决定》（2016年11月7日第十二届全国人民代表大会常务委员会第二十四次会议通过）第四条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《中华人民共和国档案法》（2016年11月7日第十二届全国人民代表大会常务委员会第二十四次会议修正）第十六条 第二款</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《国务院关于修改和废止部分行政法规的决定》（2017年3月1日国务院令第676号）第九条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《中华人民共和国档案法实施办法》（2017年3月1日国务院令第676号修改）</w:t>
            </w:r>
          </w:p>
        </w:tc>
        <w:tc>
          <w:tcPr>
            <w:tcW w:w="10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县</w:t>
            </w:r>
            <w:r>
              <w:rPr>
                <w:rFonts w:hint="eastAsia" w:ascii="仿宋_GB2312" w:hAnsi="仿宋_GB2312" w:eastAsia="仿宋_GB2312" w:cs="仿宋_GB2312"/>
                <w:color w:val="000000"/>
                <w:kern w:val="0"/>
                <w:sz w:val="20"/>
              </w:rPr>
              <w:t>行政</w:t>
            </w:r>
          </w:p>
          <w:p>
            <w:pPr>
              <w:autoSpaceDE w:val="0"/>
              <w:autoSpaceDN w:val="0"/>
              <w:adjustRightInd w:val="0"/>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20"/>
              </w:rPr>
              <w:t>审批局</w:t>
            </w:r>
          </w:p>
        </w:tc>
        <w:tc>
          <w:tcPr>
            <w:tcW w:w="12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20"/>
                <w:lang w:eastAsia="zh-CN"/>
              </w:rPr>
              <w:t>县行政许可</w:t>
            </w:r>
            <w:r>
              <w:rPr>
                <w:rFonts w:hint="eastAsia" w:ascii="仿宋_GB2312" w:hAnsi="仿宋_GB2312" w:eastAsia="仿宋_GB2312" w:cs="仿宋_GB2312"/>
                <w:color w:val="auto"/>
                <w:kern w:val="0"/>
                <w:sz w:val="20"/>
                <w:lang w:val="en-US" w:eastAsia="zh-CN"/>
              </w:rPr>
              <w:t>121304240006-21050L-XK-001-0000</w:t>
            </w:r>
          </w:p>
        </w:tc>
      </w:tr>
    </w:tbl>
    <w:tbl>
      <w:tblPr>
        <w:tblStyle w:val="3"/>
        <w:tblpPr w:leftFromText="180" w:rightFromText="180" w:vertAnchor="text" w:horzAnchor="page" w:tblpX="1446" w:tblpY="57"/>
        <w:tblOverlap w:val="never"/>
        <w:tblW w:w="14070" w:type="dxa"/>
        <w:tblInd w:w="0" w:type="dxa"/>
        <w:tblLayout w:type="fixed"/>
        <w:tblCellMar>
          <w:top w:w="0" w:type="dxa"/>
          <w:left w:w="30" w:type="dxa"/>
          <w:bottom w:w="0" w:type="dxa"/>
          <w:right w:w="30" w:type="dxa"/>
        </w:tblCellMar>
      </w:tblPr>
      <w:tblGrid>
        <w:gridCol w:w="336"/>
        <w:gridCol w:w="1135"/>
        <w:gridCol w:w="2268"/>
        <w:gridCol w:w="1283"/>
        <w:gridCol w:w="5402"/>
        <w:gridCol w:w="795"/>
        <w:gridCol w:w="1290"/>
        <w:gridCol w:w="1561"/>
      </w:tblGrid>
      <w:tr>
        <w:tblPrEx>
          <w:tblLayout w:type="fixed"/>
          <w:tblCellMar>
            <w:top w:w="0" w:type="dxa"/>
            <w:left w:w="30" w:type="dxa"/>
            <w:bottom w:w="0" w:type="dxa"/>
            <w:right w:w="30" w:type="dxa"/>
          </w:tblCellMar>
        </w:tblPrEx>
        <w:trPr>
          <w:trHeight w:val="1216" w:hRule="atLeast"/>
        </w:trPr>
        <w:tc>
          <w:tcPr>
            <w:tcW w:w="14070" w:type="dxa"/>
            <w:gridSpan w:val="8"/>
            <w:tcBorders>
              <w:bottom w:val="single" w:color="auto" w:sz="4" w:space="0"/>
            </w:tcBorders>
            <w:vAlign w:val="top"/>
          </w:tcPr>
          <w:p>
            <w:pPr>
              <w:autoSpaceDE w:val="0"/>
              <w:autoSpaceDN w:val="0"/>
              <w:adjustRightInd w:val="0"/>
              <w:jc w:val="center"/>
              <w:rPr>
                <w:rFonts w:hint="eastAsia" w:ascii="方正小标宋简体" w:eastAsia="方正小标宋简体" w:cs="宋体"/>
                <w:bCs/>
                <w:color w:val="000000"/>
                <w:kern w:val="0"/>
                <w:sz w:val="40"/>
                <w:szCs w:val="40"/>
              </w:rPr>
            </w:pPr>
            <w:r>
              <w:rPr>
                <w:rFonts w:hint="eastAsia" w:ascii="方正小标宋简体" w:eastAsia="方正小标宋简体" w:cs="宋体"/>
                <w:bCs/>
                <w:color w:val="000000"/>
                <w:kern w:val="0"/>
                <w:sz w:val="40"/>
                <w:szCs w:val="40"/>
                <w:lang w:eastAsia="zh-CN"/>
              </w:rPr>
              <w:t>成安县</w:t>
            </w:r>
            <w:r>
              <w:rPr>
                <w:rFonts w:hint="eastAsia" w:ascii="方正小标宋简体" w:eastAsia="方正小标宋简体" w:cs="宋体"/>
                <w:bCs/>
                <w:color w:val="000000"/>
                <w:kern w:val="0"/>
                <w:sz w:val="40"/>
                <w:szCs w:val="40"/>
              </w:rPr>
              <w:t>承接省政府部门决定下放的行政许可事项目录</w:t>
            </w:r>
          </w:p>
          <w:p>
            <w:pPr>
              <w:autoSpaceDE w:val="0"/>
              <w:autoSpaceDN w:val="0"/>
              <w:adjustRightInd w:val="0"/>
              <w:jc w:val="center"/>
              <w:rPr>
                <w:rFonts w:hint="eastAsia" w:ascii="黑体" w:eastAsia="黑体" w:cs="宋体"/>
                <w:bCs/>
                <w:color w:val="000000"/>
                <w:kern w:val="0"/>
                <w:sz w:val="30"/>
                <w:szCs w:val="30"/>
              </w:rPr>
            </w:pPr>
            <w:r>
              <w:rPr>
                <w:rFonts w:hint="eastAsia" w:ascii="黑体" w:eastAsia="黑体" w:cs="宋体"/>
                <w:bCs/>
                <w:color w:val="000000"/>
                <w:kern w:val="0"/>
                <w:sz w:val="30"/>
                <w:szCs w:val="30"/>
              </w:rPr>
              <w:t>（</w:t>
            </w:r>
            <w:r>
              <w:rPr>
                <w:rFonts w:hint="eastAsia" w:ascii="黑体" w:eastAsia="黑体" w:cs="宋体"/>
                <w:bCs/>
                <w:color w:val="000000"/>
                <w:kern w:val="0"/>
                <w:sz w:val="30"/>
                <w:szCs w:val="30"/>
                <w:lang w:eastAsia="zh-CN"/>
              </w:rPr>
              <w:t>下放到县级的</w:t>
            </w:r>
            <w:r>
              <w:rPr>
                <w:rFonts w:hint="eastAsia" w:ascii="黑体" w:eastAsia="黑体" w:cs="宋体"/>
                <w:bCs/>
                <w:color w:val="000000"/>
                <w:kern w:val="0"/>
                <w:sz w:val="30"/>
                <w:szCs w:val="30"/>
              </w:rPr>
              <w:t>共</w:t>
            </w:r>
            <w:r>
              <w:rPr>
                <w:rFonts w:hint="eastAsia" w:ascii="黑体" w:eastAsia="黑体" w:cs="宋体"/>
                <w:bCs/>
                <w:color w:val="000000"/>
                <w:kern w:val="0"/>
                <w:sz w:val="30"/>
                <w:szCs w:val="30"/>
                <w:lang w:val="en-US" w:eastAsia="zh-CN"/>
              </w:rPr>
              <w:t>12</w:t>
            </w:r>
            <w:r>
              <w:rPr>
                <w:rFonts w:hint="eastAsia" w:ascii="黑体" w:eastAsia="黑体" w:cs="宋体"/>
                <w:bCs/>
                <w:color w:val="000000"/>
                <w:kern w:val="0"/>
                <w:sz w:val="30"/>
                <w:szCs w:val="30"/>
              </w:rPr>
              <w:t>项</w:t>
            </w:r>
            <w:r>
              <w:rPr>
                <w:rFonts w:hint="eastAsia" w:ascii="黑体" w:eastAsia="黑体" w:cs="宋体"/>
                <w:bCs/>
                <w:color w:val="000000"/>
                <w:kern w:val="0"/>
                <w:sz w:val="30"/>
                <w:szCs w:val="30"/>
                <w:lang w:eastAsia="zh-CN"/>
              </w:rPr>
              <w:t>，我县因区域问题有</w:t>
            </w:r>
            <w:r>
              <w:rPr>
                <w:rFonts w:hint="eastAsia" w:ascii="黑体" w:eastAsia="黑体" w:cs="宋体"/>
                <w:bCs/>
                <w:color w:val="000000"/>
                <w:kern w:val="0"/>
                <w:sz w:val="30"/>
                <w:szCs w:val="30"/>
                <w:lang w:val="en-US" w:eastAsia="zh-CN"/>
              </w:rPr>
              <w:t>10项</w:t>
            </w:r>
            <w:r>
              <w:rPr>
                <w:rFonts w:hint="eastAsia" w:ascii="黑体" w:eastAsia="黑体" w:cs="宋体"/>
                <w:bCs/>
                <w:color w:val="000000"/>
                <w:kern w:val="0"/>
                <w:sz w:val="30"/>
                <w:szCs w:val="30"/>
                <w:lang w:eastAsia="zh-CN"/>
              </w:rPr>
              <w:t>不涉及，需承接</w:t>
            </w:r>
            <w:r>
              <w:rPr>
                <w:rFonts w:hint="eastAsia" w:ascii="黑体" w:eastAsia="黑体" w:cs="宋体"/>
                <w:bCs/>
                <w:color w:val="000000"/>
                <w:kern w:val="0"/>
                <w:sz w:val="30"/>
                <w:szCs w:val="30"/>
                <w:lang w:val="en-US" w:eastAsia="zh-CN"/>
              </w:rPr>
              <w:t>2项</w:t>
            </w:r>
            <w:r>
              <w:rPr>
                <w:rFonts w:hint="eastAsia" w:ascii="黑体" w:eastAsia="黑体" w:cs="宋体"/>
                <w:bCs/>
                <w:color w:val="000000"/>
                <w:kern w:val="0"/>
                <w:sz w:val="30"/>
                <w:szCs w:val="30"/>
              </w:rPr>
              <w:t>）</w:t>
            </w:r>
          </w:p>
        </w:tc>
      </w:tr>
      <w:tr>
        <w:tblPrEx>
          <w:tblLayout w:type="fixed"/>
          <w:tblCellMar>
            <w:top w:w="0" w:type="dxa"/>
            <w:left w:w="30" w:type="dxa"/>
            <w:bottom w:w="0" w:type="dxa"/>
            <w:right w:w="30" w:type="dxa"/>
          </w:tblCellMar>
        </w:tblPrEx>
        <w:trPr>
          <w:trHeight w:val="680" w:hRule="atLeast"/>
        </w:trPr>
        <w:tc>
          <w:tcPr>
            <w:tcW w:w="3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序号</w:t>
            </w: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eastAsia="黑体" w:cs="黑体"/>
                <w:color w:val="000000"/>
                <w:kern w:val="0"/>
                <w:szCs w:val="21"/>
              </w:rPr>
            </w:pPr>
            <w:r>
              <w:rPr>
                <w:rFonts w:hint="eastAsia" w:ascii="黑体" w:eastAsia="黑体" w:cs="黑体"/>
                <w:color w:val="000000"/>
                <w:kern w:val="0"/>
                <w:szCs w:val="21"/>
              </w:rPr>
              <w:t>项目</w:t>
            </w:r>
          </w:p>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编码</w:t>
            </w:r>
          </w:p>
        </w:tc>
        <w:tc>
          <w:tcPr>
            <w:tcW w:w="22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项 目 名 称</w:t>
            </w:r>
          </w:p>
        </w:tc>
        <w:tc>
          <w:tcPr>
            <w:tcW w:w="12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eastAsia="黑体" w:cs="黑体"/>
                <w:color w:val="000000"/>
                <w:kern w:val="0"/>
                <w:szCs w:val="21"/>
              </w:rPr>
            </w:pPr>
            <w:r>
              <w:rPr>
                <w:rFonts w:hint="eastAsia" w:ascii="黑体" w:eastAsia="黑体" w:cs="黑体"/>
                <w:color w:val="000000"/>
                <w:kern w:val="0"/>
                <w:szCs w:val="21"/>
              </w:rPr>
              <w:t>省级实施</w:t>
            </w:r>
          </w:p>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部  门</w:t>
            </w:r>
          </w:p>
        </w:tc>
        <w:tc>
          <w:tcPr>
            <w:tcW w:w="54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设 定 依 据</w:t>
            </w:r>
          </w:p>
        </w:tc>
        <w:tc>
          <w:tcPr>
            <w:tcW w:w="7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eastAsia="黑体" w:cs="黑体"/>
                <w:color w:val="000000"/>
                <w:kern w:val="0"/>
                <w:szCs w:val="21"/>
              </w:rPr>
            </w:pPr>
            <w:r>
              <w:rPr>
                <w:rFonts w:hint="eastAsia" w:ascii="黑体" w:eastAsia="黑体" w:cs="黑体"/>
                <w:color w:val="000000"/>
                <w:kern w:val="0"/>
                <w:szCs w:val="21"/>
              </w:rPr>
              <w:t>下放</w:t>
            </w:r>
          </w:p>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方式</w:t>
            </w:r>
          </w:p>
        </w:tc>
        <w:tc>
          <w:tcPr>
            <w:tcW w:w="12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eastAsia="黑体" w:cs="黑体"/>
                <w:color w:val="000000"/>
                <w:kern w:val="0"/>
                <w:szCs w:val="21"/>
              </w:rPr>
            </w:pPr>
            <w:r>
              <w:rPr>
                <w:rFonts w:hint="eastAsia" w:ascii="黑体" w:eastAsia="黑体" w:cs="黑体"/>
                <w:color w:val="000000"/>
                <w:kern w:val="0"/>
                <w:szCs w:val="21"/>
              </w:rPr>
              <w:t>下放后</w:t>
            </w:r>
          </w:p>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实施部门</w:t>
            </w:r>
          </w:p>
        </w:tc>
        <w:tc>
          <w:tcPr>
            <w:tcW w:w="15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eastAsia="黑体" w:cs="黑体"/>
                <w:color w:val="000000"/>
                <w:kern w:val="0"/>
                <w:szCs w:val="21"/>
              </w:rPr>
            </w:pPr>
            <w:r>
              <w:rPr>
                <w:rFonts w:hint="eastAsia" w:ascii="黑体" w:eastAsia="黑体" w:cs="黑体"/>
                <w:color w:val="000000"/>
                <w:kern w:val="0"/>
                <w:szCs w:val="21"/>
              </w:rPr>
              <w:t>备  注</w:t>
            </w:r>
          </w:p>
        </w:tc>
      </w:tr>
      <w:tr>
        <w:tblPrEx>
          <w:tblLayout w:type="fixed"/>
          <w:tblCellMar>
            <w:top w:w="0" w:type="dxa"/>
            <w:left w:w="30" w:type="dxa"/>
            <w:bottom w:w="0" w:type="dxa"/>
            <w:right w:w="30" w:type="dxa"/>
          </w:tblCellMar>
        </w:tblPrEx>
        <w:trPr>
          <w:trHeight w:val="1634"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1</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exact"/>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000000000002182290-XK-004-0000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动物诊疗许可证核发</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省农业厅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《中华人民共和国动物防疫法》（1997年7月3日主席令第八十七号，2015年4月24日予以修改）第五十一条</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w:t>
            </w:r>
          </w:p>
        </w:tc>
        <w:tc>
          <w:tcPr>
            <w:tcW w:w="156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eastAsia="zh-CN"/>
              </w:rPr>
            </w:pPr>
            <w:r>
              <w:rPr>
                <w:rFonts w:hint="eastAsia" w:ascii="仿宋_GB2312" w:hAnsi="仿宋_GB2312" w:eastAsia="仿宋_GB2312" w:cs="仿宋_GB2312"/>
                <w:color w:val="auto"/>
                <w:kern w:val="0"/>
                <w:sz w:val="20"/>
                <w:lang w:eastAsia="zh-CN"/>
              </w:rPr>
              <w:t>县行政许可</w:t>
            </w:r>
            <w:r>
              <w:rPr>
                <w:rFonts w:hint="eastAsia" w:ascii="仿宋_GB2312" w:hAnsi="仿宋_GB2312" w:eastAsia="仿宋_GB2312" w:cs="仿宋_GB2312"/>
                <w:color w:val="auto"/>
                <w:kern w:val="0"/>
                <w:sz w:val="20"/>
                <w:lang w:val="en-US" w:eastAsia="zh-CN"/>
              </w:rPr>
              <w:t>11130424000621173Q-XK-018-0000</w:t>
            </w:r>
          </w:p>
        </w:tc>
      </w:tr>
      <w:tr>
        <w:tblPrEx>
          <w:tblLayout w:type="fixed"/>
          <w:tblCellMar>
            <w:top w:w="0" w:type="dxa"/>
            <w:left w:w="30" w:type="dxa"/>
            <w:bottom w:w="0" w:type="dxa"/>
            <w:right w:w="30" w:type="dxa"/>
          </w:tblCellMar>
        </w:tblPrEx>
        <w:trPr>
          <w:trHeight w:val="1663"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2</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11130000000218261A-XK-017-0000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猎捕非国家重点保护陆生野生动物狩猎证核发</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省林业厅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《中华人民共和国陆生野生动物保护实施条例》第十五条</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w:t>
            </w:r>
          </w:p>
        </w:tc>
        <w:tc>
          <w:tcPr>
            <w:tcW w:w="156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eastAsia="zh-CN"/>
              </w:rPr>
            </w:pPr>
            <w:r>
              <w:rPr>
                <w:rFonts w:hint="eastAsia" w:ascii="仿宋_GB2312" w:hAnsi="仿宋_GB2312" w:eastAsia="仿宋_GB2312" w:cs="仿宋_GB2312"/>
                <w:color w:val="auto"/>
                <w:kern w:val="0"/>
                <w:sz w:val="20"/>
                <w:lang w:val="en-US" w:eastAsia="zh-CN"/>
              </w:rPr>
              <w:t>县行政许可11130424000621173Q-XK-016-0000</w:t>
            </w:r>
          </w:p>
        </w:tc>
      </w:tr>
      <w:tr>
        <w:tblPrEx>
          <w:tblLayout w:type="fixed"/>
          <w:tblCellMar>
            <w:top w:w="0" w:type="dxa"/>
            <w:left w:w="30" w:type="dxa"/>
            <w:bottom w:w="0" w:type="dxa"/>
            <w:right w:w="30" w:type="dxa"/>
          </w:tblCellMar>
        </w:tblPrEx>
        <w:trPr>
          <w:trHeight w:val="2548"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3</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000000000002181730-XK-003-0000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船舶进行散装液体污染危害性货物过驳作业审批</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省交通运输厅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《中华人民共和国海洋环境保护法》（1999年12月25日主席令第26号，2013年12月28日予以修改）第七十条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《中华人民共和国水污染防治法》（1984年5月11日主席令六届第12号，2008年2月28日予以修改）第五十五条</w:t>
            </w:r>
          </w:p>
          <w:p>
            <w:pPr>
              <w:autoSpaceDE w:val="0"/>
              <w:autoSpaceDN w:val="0"/>
              <w:adjustRightInd w:val="0"/>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20"/>
              </w:rPr>
              <w:t>《防治船舶污染海洋环境管理条例》（2009年9月9日国务院令第561号，2016年2月6日予以修改）第十七条</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p>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县行政审批局或地方海事机构</w:t>
            </w:r>
          </w:p>
        </w:tc>
        <w:tc>
          <w:tcPr>
            <w:tcW w:w="156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eastAsia="zh-CN"/>
              </w:rPr>
            </w:pPr>
            <w:r>
              <w:rPr>
                <w:rFonts w:hint="eastAsia" w:ascii="仿宋_GB2312" w:hAnsi="仿宋_GB2312" w:eastAsia="仿宋_GB2312" w:cs="仿宋_GB2312"/>
                <w:color w:val="000000"/>
                <w:kern w:val="0"/>
                <w:sz w:val="20"/>
                <w:lang w:eastAsia="zh-CN"/>
              </w:rPr>
              <w:t>我县不涉及</w:t>
            </w:r>
          </w:p>
        </w:tc>
      </w:tr>
      <w:tr>
        <w:tblPrEx>
          <w:tblLayout w:type="fixed"/>
          <w:tblCellMar>
            <w:top w:w="0" w:type="dxa"/>
            <w:left w:w="30" w:type="dxa"/>
            <w:bottom w:w="0" w:type="dxa"/>
            <w:right w:w="30" w:type="dxa"/>
          </w:tblCellMar>
        </w:tblPrEx>
        <w:trPr>
          <w:trHeight w:val="1474"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4</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000000000002181730-XK-034-0000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大型设施、移动式平台、超限物体水上拖带审批</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省交通运输厅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《中华人民共和国内河交通安全管理条例》（2002年6月28日国务院令第355号）第二十二条、第四十三条</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县行政审批局或地方海事机构</w:t>
            </w:r>
          </w:p>
        </w:tc>
        <w:tc>
          <w:tcPr>
            <w:tcW w:w="156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eastAsia="zh-CN"/>
              </w:rPr>
            </w:pPr>
            <w:r>
              <w:rPr>
                <w:rFonts w:hint="eastAsia" w:ascii="仿宋_GB2312" w:hAnsi="仿宋_GB2312" w:eastAsia="仿宋_GB2312" w:cs="仿宋_GB2312"/>
                <w:color w:val="000000"/>
                <w:kern w:val="0"/>
                <w:sz w:val="20"/>
                <w:lang w:eastAsia="zh-CN"/>
              </w:rPr>
              <w:t>我县不涉及</w:t>
            </w:r>
          </w:p>
        </w:tc>
      </w:tr>
      <w:tr>
        <w:tblPrEx>
          <w:tblLayout w:type="fixed"/>
          <w:tblCellMar>
            <w:top w:w="0" w:type="dxa"/>
            <w:left w:w="30" w:type="dxa"/>
            <w:bottom w:w="0" w:type="dxa"/>
            <w:right w:w="30" w:type="dxa"/>
          </w:tblCellMar>
        </w:tblPrEx>
        <w:trPr>
          <w:trHeight w:val="1502"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5</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000000000002181730-XK-001-0000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船舶进入或穿越禁航区审批</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省交通运输厅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《中国人民共和国海上交通安全法》（1983年9月2日主席令第7号）第十五条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《中华人民共和国内河交通安全管理条例》（2002年6月28日国务院令第355号）第二十条</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县行政审批局或地方海事机构</w:t>
            </w:r>
          </w:p>
        </w:tc>
        <w:tc>
          <w:tcPr>
            <w:tcW w:w="156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我县不涉及</w:t>
            </w:r>
          </w:p>
        </w:tc>
      </w:tr>
      <w:tr>
        <w:tblPrEx>
          <w:tblLayout w:type="fixed"/>
          <w:tblCellMar>
            <w:top w:w="0" w:type="dxa"/>
            <w:left w:w="30" w:type="dxa"/>
            <w:bottom w:w="0" w:type="dxa"/>
            <w:right w:w="30" w:type="dxa"/>
          </w:tblCellMar>
        </w:tblPrEx>
        <w:trPr>
          <w:trHeight w:val="1550"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6</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000000000002181730-XK-027-0000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通航水域岸线安全使用和水上水下活动许可</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省交通运输厅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《中华人民共和国内河交通安全管理条例》（2002年6月28日国务院令第355号）第二十五条</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县行政审批局或地方海事机构</w:t>
            </w:r>
          </w:p>
        </w:tc>
        <w:tc>
          <w:tcPr>
            <w:tcW w:w="156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我县不涉及</w:t>
            </w:r>
          </w:p>
        </w:tc>
      </w:tr>
      <w:tr>
        <w:tblPrEx>
          <w:tblLayout w:type="fixed"/>
          <w:tblCellMar>
            <w:top w:w="0" w:type="dxa"/>
            <w:left w:w="30" w:type="dxa"/>
            <w:bottom w:w="0" w:type="dxa"/>
            <w:right w:w="30" w:type="dxa"/>
          </w:tblCellMar>
        </w:tblPrEx>
        <w:trPr>
          <w:trHeight w:val="2780"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7</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000000000002181730-XK-028-0000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载运危险货物和污染危险性货物进出港口审批</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省交通运输厅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《中华人民共和国海上交通安全法》（1983年9月2日主席令第7号）第三十三条、第六十七条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《中华人民共和国内河交通安全管理条例》（2002年6月28日国务院令第355号）第三十二条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《防治船舶污染海洋环境管理条例》（2009年9月9日国务院令第561号，2016年2月6日予以修改）第二十二条</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县行政审批局或地方海事机构</w:t>
            </w:r>
          </w:p>
        </w:tc>
        <w:tc>
          <w:tcPr>
            <w:tcW w:w="156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我县不涉及</w:t>
            </w:r>
          </w:p>
        </w:tc>
      </w:tr>
      <w:tr>
        <w:tblPrEx>
          <w:tblLayout w:type="fixed"/>
          <w:tblCellMar>
            <w:top w:w="0" w:type="dxa"/>
            <w:left w:w="30" w:type="dxa"/>
            <w:bottom w:w="0" w:type="dxa"/>
            <w:right w:w="30" w:type="dxa"/>
          </w:tblCellMar>
        </w:tblPrEx>
        <w:trPr>
          <w:trHeight w:val="1913"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8</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000000000002181730-XK-039-0000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船舶油污损害民事责任保险证书或者财务保证证书核发</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省交通运输厅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《防治船舶污染海洋环境管理条例》（2009年9月9日国务院令第561号，2016年2月6日予以修改）第五十三条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《国务院关于取消和调整一批行政审批项目等事项的决定》（国发〔2015〕11号）第70项</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县行政审批局或地方海事机构</w:t>
            </w:r>
          </w:p>
        </w:tc>
        <w:tc>
          <w:tcPr>
            <w:tcW w:w="156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我县不涉及</w:t>
            </w:r>
          </w:p>
        </w:tc>
      </w:tr>
      <w:tr>
        <w:tblPrEx>
          <w:tblLayout w:type="fixed"/>
          <w:tblCellMar>
            <w:top w:w="0" w:type="dxa"/>
            <w:left w:w="30" w:type="dxa"/>
            <w:bottom w:w="0" w:type="dxa"/>
            <w:right w:w="30" w:type="dxa"/>
          </w:tblCellMar>
        </w:tblPrEx>
        <w:trPr>
          <w:trHeight w:val="1092"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9</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02182290-XK-008-0000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大型（441千瓦以上）海洋捕捞渔船渔业许可审批</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省农业厅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《中华人民共和国渔业法》（1986年1月20日主席令第三十四号，2013年12月28日予以修改）第二十三条</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县行政审批局或渔业主管部门</w:t>
            </w:r>
          </w:p>
        </w:tc>
        <w:tc>
          <w:tcPr>
            <w:tcW w:w="156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我县不涉及</w:t>
            </w:r>
          </w:p>
        </w:tc>
      </w:tr>
      <w:tr>
        <w:tblPrEx>
          <w:tblLayout w:type="fixed"/>
          <w:tblCellMar>
            <w:top w:w="0" w:type="dxa"/>
            <w:left w:w="30" w:type="dxa"/>
            <w:bottom w:w="0" w:type="dxa"/>
            <w:right w:w="30" w:type="dxa"/>
          </w:tblCellMar>
        </w:tblPrEx>
        <w:trPr>
          <w:trHeight w:val="1731"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10</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02182290-XK-013-0000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水产苗种生产审批</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省农业厅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《中华人民共和国渔业法》（1986年1月20日主席令第三十四号，2013年12月28日予以修改）第十六条</w:t>
            </w:r>
          </w:p>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《水产苗种管理办法》（2005年1月5日农业部令第46号）第十一条</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县行政审批局或渔业主管部门</w:t>
            </w:r>
          </w:p>
        </w:tc>
        <w:tc>
          <w:tcPr>
            <w:tcW w:w="156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我县不涉及</w:t>
            </w:r>
          </w:p>
        </w:tc>
      </w:tr>
      <w:tr>
        <w:tblPrEx>
          <w:tblLayout w:type="fixed"/>
          <w:tblCellMar>
            <w:top w:w="0" w:type="dxa"/>
            <w:left w:w="30" w:type="dxa"/>
            <w:bottom w:w="0" w:type="dxa"/>
            <w:right w:w="30" w:type="dxa"/>
          </w:tblCellMar>
        </w:tblPrEx>
        <w:trPr>
          <w:trHeight w:val="1159"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11</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02182290-XK-014-0000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水域滩涂养殖证的审核</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省农业厅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《中华人民共和国渔业法》（1986年1月20日主席令第三十四号，2013年12月28日予以修改）第十一条</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县行政审批局或渔业主管部门</w:t>
            </w:r>
          </w:p>
        </w:tc>
        <w:tc>
          <w:tcPr>
            <w:tcW w:w="1561" w:type="dxa"/>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我县不涉及</w:t>
            </w:r>
          </w:p>
        </w:tc>
      </w:tr>
      <w:tr>
        <w:tblPrEx>
          <w:tblLayout w:type="fixed"/>
          <w:tblCellMar>
            <w:top w:w="0" w:type="dxa"/>
            <w:left w:w="30" w:type="dxa"/>
            <w:bottom w:w="0" w:type="dxa"/>
            <w:right w:w="30" w:type="dxa"/>
          </w:tblCellMar>
        </w:tblPrEx>
        <w:trPr>
          <w:trHeight w:val="1130" w:hRule="atLeast"/>
        </w:trPr>
        <w:tc>
          <w:tcPr>
            <w:tcW w:w="3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lang w:val="en-US" w:eastAsia="zh-CN"/>
              </w:rPr>
            </w:pPr>
            <w:r>
              <w:rPr>
                <w:rFonts w:hint="eastAsia" w:ascii="仿宋_GB2312" w:hAnsi="仿宋_GB2312" w:eastAsia="仿宋_GB2312" w:cs="仿宋_GB2312"/>
                <w:color w:val="000000"/>
                <w:kern w:val="0"/>
                <w:sz w:val="20"/>
                <w:lang w:val="en-US" w:eastAsia="zh-CN"/>
              </w:rPr>
              <w:t>12</w:t>
            </w:r>
          </w:p>
        </w:tc>
        <w:tc>
          <w:tcPr>
            <w:tcW w:w="11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02182290-XK-018-0000</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在草原上开展经营性旅游活动审批</w:t>
            </w:r>
          </w:p>
        </w:tc>
        <w:tc>
          <w:tcPr>
            <w:tcW w:w="12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省农业厅</w:t>
            </w:r>
          </w:p>
        </w:tc>
        <w:tc>
          <w:tcPr>
            <w:tcW w:w="54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《中华人民共和国草原法》（1985年6月18日主席令第26号，2013年6月29日予以修改）第五十二条</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下放</w:t>
            </w:r>
          </w:p>
        </w:tc>
        <w:tc>
          <w:tcPr>
            <w:tcW w:w="129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县行政审批局或农牧主管部门</w:t>
            </w:r>
          </w:p>
        </w:tc>
        <w:tc>
          <w:tcPr>
            <w:tcW w:w="1561"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lang w:eastAsia="zh-CN"/>
              </w:rPr>
              <w:t>我县不涉及</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B1340"/>
    <w:rsid w:val="0B2B56AF"/>
    <w:rsid w:val="136D7899"/>
    <w:rsid w:val="21837F78"/>
    <w:rsid w:val="60062E21"/>
    <w:rsid w:val="618B1340"/>
    <w:rsid w:val="6C4D2776"/>
    <w:rsid w:val="6D535020"/>
    <w:rsid w:val="71012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2018-04-04T03:12:00Z</dcterms:created>
  <dc:creator>lenovo</dc:creator>
  <cp:lastModifiedBy>lenovo</cp:lastModifiedBy>
  <dcterms:modified xsi:type="dcterms:W3CDTF">2018-04-10T02:05:55Z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