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25</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25</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26</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27</w:t>
      </w:r>
      <w:r>
        <w:fldChar w:fldCharType="end"/>
      </w:r>
      <w:r>
        <w:fldChar w:fldCharType="end"/>
      </w:r>
    </w:p>
    <w:p>
      <w:r>
        <w:fldChar w:fldCharType="end"/>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225中共沧县县委机构编制委员会办公室</w:t>
            </w:r>
          </w:p>
        </w:tc>
        <w:tc>
          <w:tcPr>
            <w:tcW w:w="2126" w:type="dxa"/>
            <w:tcBorders>
              <w:top w:val="single" w:color="FFFFFF" w:sz="6" w:space="0"/>
              <w:left w:val="single" w:color="FFFFFF" w:sz="6" w:space="0"/>
              <w:right w:val="single" w:color="FFFFFF" w:sz="6" w:space="0"/>
            </w:tcBorders>
            <w:vAlign w:val="center"/>
          </w:tcPr>
          <w:p>
            <w:pPr>
              <w:pStyle w:val="11"/>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183.09</w:t>
            </w:r>
          </w:p>
        </w:tc>
        <w:tc>
          <w:tcPr>
            <w:tcW w:w="4535" w:type="dxa"/>
            <w:vAlign w:val="center"/>
          </w:tcPr>
          <w:p>
            <w:pPr>
              <w:pStyle w:val="15"/>
            </w:pPr>
            <w:r>
              <w:t>一、一般公共服务支出</w:t>
            </w:r>
          </w:p>
        </w:tc>
        <w:tc>
          <w:tcPr>
            <w:tcW w:w="2126" w:type="dxa"/>
            <w:vAlign w:val="center"/>
          </w:tcPr>
          <w:p>
            <w:pPr>
              <w:pStyle w:val="14"/>
            </w:pPr>
            <w:r>
              <w:t>183.09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五、事业收入</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r>
              <w:t>九、其他收入</w:t>
            </w: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7"/>
            </w:pPr>
            <w:r>
              <w:t>本年收入合计</w:t>
            </w:r>
          </w:p>
        </w:tc>
        <w:tc>
          <w:tcPr>
            <w:tcW w:w="2126" w:type="dxa"/>
            <w:vAlign w:val="center"/>
          </w:tcPr>
          <w:p>
            <w:pPr>
              <w:pStyle w:val="18"/>
            </w:pPr>
            <w:r>
              <w:t>183.09</w:t>
            </w:r>
          </w:p>
        </w:tc>
        <w:tc>
          <w:tcPr>
            <w:tcW w:w="4535" w:type="dxa"/>
            <w:vAlign w:val="center"/>
          </w:tcPr>
          <w:p>
            <w:pPr>
              <w:pStyle w:val="17"/>
            </w:pPr>
            <w:r>
              <w:t>本年支出合计</w:t>
            </w:r>
          </w:p>
        </w:tc>
        <w:tc>
          <w:tcPr>
            <w:tcW w:w="2126" w:type="dxa"/>
            <w:vAlign w:val="center"/>
          </w:tcPr>
          <w:p>
            <w:pPr>
              <w:pStyle w:val="18"/>
            </w:pPr>
            <w:r>
              <w:t>183.09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7"/>
            </w:pPr>
            <w:r>
              <w:t>收入总计</w:t>
            </w:r>
          </w:p>
        </w:tc>
        <w:tc>
          <w:tcPr>
            <w:tcW w:w="2126" w:type="dxa"/>
            <w:vAlign w:val="center"/>
          </w:tcPr>
          <w:p>
            <w:pPr>
              <w:pStyle w:val="18"/>
            </w:pPr>
            <w:r>
              <w:t>183.09</w:t>
            </w:r>
          </w:p>
        </w:tc>
        <w:tc>
          <w:tcPr>
            <w:tcW w:w="4535" w:type="dxa"/>
            <w:vAlign w:val="center"/>
          </w:tcPr>
          <w:p>
            <w:pPr>
              <w:pStyle w:val="17"/>
            </w:pPr>
            <w:r>
              <w:t>支出总计</w:t>
            </w:r>
          </w:p>
        </w:tc>
        <w:tc>
          <w:tcPr>
            <w:tcW w:w="2126" w:type="dxa"/>
            <w:vAlign w:val="center"/>
          </w:tcPr>
          <w:p>
            <w:pPr>
              <w:pStyle w:val="18"/>
            </w:pPr>
            <w:r>
              <w:t>183.09</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241沧县档案馆</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183.09</w:t>
            </w:r>
          </w:p>
        </w:tc>
        <w:tc>
          <w:tcPr>
            <w:tcW w:w="1134" w:type="dxa"/>
            <w:vAlign w:val="center"/>
          </w:tcPr>
          <w:p>
            <w:pPr>
              <w:pStyle w:val="18"/>
            </w:pPr>
            <w:r>
              <w:t>183.09</w:t>
            </w:r>
          </w:p>
        </w:tc>
        <w:tc>
          <w:tcPr>
            <w:tcW w:w="1134" w:type="dxa"/>
            <w:vAlign w:val="center"/>
          </w:tcPr>
          <w:p>
            <w:pPr>
              <w:pStyle w:val="18"/>
            </w:pPr>
            <w:r>
              <w:t>183.09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201</w:t>
            </w:r>
          </w:p>
        </w:tc>
        <w:tc>
          <w:tcPr>
            <w:tcW w:w="1559" w:type="dxa"/>
            <w:vAlign w:val="center"/>
          </w:tcPr>
          <w:p>
            <w:pPr>
              <w:pStyle w:val="15"/>
            </w:pPr>
            <w:r>
              <w:t>一般公共服务支出</w:t>
            </w:r>
          </w:p>
        </w:tc>
        <w:tc>
          <w:tcPr>
            <w:tcW w:w="1134" w:type="dxa"/>
            <w:vAlign w:val="center"/>
          </w:tcPr>
          <w:p>
            <w:pPr>
              <w:pStyle w:val="14"/>
            </w:pPr>
            <w:r>
              <w:t>183.09</w:t>
            </w:r>
          </w:p>
        </w:tc>
        <w:tc>
          <w:tcPr>
            <w:tcW w:w="1134" w:type="dxa"/>
            <w:vAlign w:val="center"/>
          </w:tcPr>
          <w:p>
            <w:pPr>
              <w:pStyle w:val="14"/>
            </w:pPr>
            <w:r>
              <w:t>183.09</w:t>
            </w:r>
          </w:p>
        </w:tc>
        <w:tc>
          <w:tcPr>
            <w:tcW w:w="1134" w:type="dxa"/>
            <w:vAlign w:val="center"/>
          </w:tcPr>
          <w:p>
            <w:pPr>
              <w:pStyle w:val="14"/>
            </w:pPr>
            <w:r>
              <w:t>183.09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20132</w:t>
            </w:r>
          </w:p>
        </w:tc>
        <w:tc>
          <w:tcPr>
            <w:tcW w:w="1559" w:type="dxa"/>
            <w:vAlign w:val="center"/>
          </w:tcPr>
          <w:p>
            <w:pPr>
              <w:pStyle w:val="15"/>
            </w:pPr>
            <w:r>
              <w:t>组织事务</w:t>
            </w:r>
          </w:p>
        </w:tc>
        <w:tc>
          <w:tcPr>
            <w:tcW w:w="1134" w:type="dxa"/>
            <w:vAlign w:val="center"/>
          </w:tcPr>
          <w:p>
            <w:pPr>
              <w:pStyle w:val="14"/>
            </w:pPr>
            <w:r>
              <w:t>183.09</w:t>
            </w:r>
          </w:p>
        </w:tc>
        <w:tc>
          <w:tcPr>
            <w:tcW w:w="1134" w:type="dxa"/>
            <w:vAlign w:val="center"/>
          </w:tcPr>
          <w:p>
            <w:pPr>
              <w:pStyle w:val="14"/>
            </w:pPr>
            <w:r>
              <w:t>183.09</w:t>
            </w:r>
          </w:p>
        </w:tc>
        <w:tc>
          <w:tcPr>
            <w:tcW w:w="1134" w:type="dxa"/>
            <w:vAlign w:val="center"/>
          </w:tcPr>
          <w:p>
            <w:pPr>
              <w:pStyle w:val="14"/>
            </w:pPr>
            <w:r>
              <w:t>183.09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2013201</w:t>
            </w:r>
          </w:p>
        </w:tc>
        <w:tc>
          <w:tcPr>
            <w:tcW w:w="1559" w:type="dxa"/>
            <w:vAlign w:val="center"/>
          </w:tcPr>
          <w:p>
            <w:pPr>
              <w:pStyle w:val="15"/>
            </w:pPr>
            <w:r>
              <w:t>行政运行</w:t>
            </w:r>
          </w:p>
        </w:tc>
        <w:tc>
          <w:tcPr>
            <w:tcW w:w="1134" w:type="dxa"/>
            <w:vAlign w:val="center"/>
          </w:tcPr>
          <w:p>
            <w:pPr>
              <w:pStyle w:val="14"/>
            </w:pPr>
            <w:r>
              <w:t>174.43</w:t>
            </w:r>
          </w:p>
        </w:tc>
        <w:tc>
          <w:tcPr>
            <w:tcW w:w="1134" w:type="dxa"/>
            <w:vAlign w:val="center"/>
          </w:tcPr>
          <w:p>
            <w:pPr>
              <w:pStyle w:val="14"/>
            </w:pPr>
            <w:r>
              <w:t>174.43</w:t>
            </w:r>
          </w:p>
        </w:tc>
        <w:tc>
          <w:tcPr>
            <w:tcW w:w="1134" w:type="dxa"/>
            <w:vAlign w:val="center"/>
          </w:tcPr>
          <w:p>
            <w:pPr>
              <w:pStyle w:val="14"/>
            </w:pPr>
            <w:r>
              <w:t>174.43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2013202</w:t>
            </w:r>
          </w:p>
        </w:tc>
        <w:tc>
          <w:tcPr>
            <w:tcW w:w="1559" w:type="dxa"/>
            <w:vAlign w:val="center"/>
          </w:tcPr>
          <w:p>
            <w:pPr>
              <w:pStyle w:val="15"/>
            </w:pPr>
            <w:r>
              <w:t>一般行政管理事务</w:t>
            </w:r>
          </w:p>
        </w:tc>
        <w:tc>
          <w:tcPr>
            <w:tcW w:w="1134" w:type="dxa"/>
            <w:vAlign w:val="center"/>
          </w:tcPr>
          <w:p>
            <w:pPr>
              <w:pStyle w:val="14"/>
            </w:pPr>
            <w:r>
              <w:t>8.66</w:t>
            </w:r>
          </w:p>
        </w:tc>
        <w:tc>
          <w:tcPr>
            <w:tcW w:w="1134" w:type="dxa"/>
            <w:vAlign w:val="center"/>
          </w:tcPr>
          <w:p>
            <w:pPr>
              <w:pStyle w:val="14"/>
            </w:pPr>
            <w:r>
              <w:t>8.66</w:t>
            </w:r>
          </w:p>
        </w:tc>
        <w:tc>
          <w:tcPr>
            <w:tcW w:w="1134" w:type="dxa"/>
            <w:vAlign w:val="center"/>
          </w:tcPr>
          <w:p>
            <w:pPr>
              <w:pStyle w:val="14"/>
            </w:pPr>
            <w:r>
              <w:t>8.66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241沧县档案馆</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183.09</w:t>
            </w:r>
          </w:p>
        </w:tc>
        <w:tc>
          <w:tcPr>
            <w:tcW w:w="1361" w:type="dxa"/>
            <w:vAlign w:val="center"/>
          </w:tcPr>
          <w:p>
            <w:pPr>
              <w:pStyle w:val="18"/>
            </w:pPr>
            <w:r>
              <w:t>174.43</w:t>
            </w:r>
          </w:p>
        </w:tc>
        <w:tc>
          <w:tcPr>
            <w:tcW w:w="1361" w:type="dxa"/>
            <w:vAlign w:val="center"/>
          </w:tcPr>
          <w:p>
            <w:pPr>
              <w:pStyle w:val="18"/>
            </w:pPr>
            <w:r>
              <w:t>8.66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201</w:t>
            </w:r>
          </w:p>
        </w:tc>
        <w:tc>
          <w:tcPr>
            <w:tcW w:w="4535" w:type="dxa"/>
            <w:vAlign w:val="center"/>
          </w:tcPr>
          <w:p>
            <w:pPr>
              <w:pStyle w:val="15"/>
            </w:pPr>
            <w:r>
              <w:t>一般公共服务支出</w:t>
            </w:r>
          </w:p>
        </w:tc>
        <w:tc>
          <w:tcPr>
            <w:tcW w:w="1361" w:type="dxa"/>
            <w:vAlign w:val="center"/>
          </w:tcPr>
          <w:p>
            <w:pPr>
              <w:pStyle w:val="14"/>
            </w:pPr>
            <w:r>
              <w:t>183.09</w:t>
            </w:r>
          </w:p>
        </w:tc>
        <w:tc>
          <w:tcPr>
            <w:tcW w:w="1361" w:type="dxa"/>
            <w:vAlign w:val="center"/>
          </w:tcPr>
          <w:p>
            <w:pPr>
              <w:pStyle w:val="14"/>
            </w:pPr>
            <w:r>
              <w:t>174.43</w:t>
            </w:r>
          </w:p>
        </w:tc>
        <w:tc>
          <w:tcPr>
            <w:tcW w:w="1361" w:type="dxa"/>
            <w:vAlign w:val="center"/>
          </w:tcPr>
          <w:p>
            <w:pPr>
              <w:pStyle w:val="14"/>
            </w:pPr>
            <w:r>
              <w:t>8.66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20132</w:t>
            </w:r>
          </w:p>
        </w:tc>
        <w:tc>
          <w:tcPr>
            <w:tcW w:w="4535" w:type="dxa"/>
            <w:vAlign w:val="center"/>
          </w:tcPr>
          <w:p>
            <w:pPr>
              <w:pStyle w:val="15"/>
            </w:pPr>
            <w:r>
              <w:t>组织事务</w:t>
            </w:r>
          </w:p>
        </w:tc>
        <w:tc>
          <w:tcPr>
            <w:tcW w:w="1361" w:type="dxa"/>
            <w:vAlign w:val="center"/>
          </w:tcPr>
          <w:p>
            <w:pPr>
              <w:pStyle w:val="14"/>
            </w:pPr>
            <w:r>
              <w:t>183.09</w:t>
            </w:r>
          </w:p>
        </w:tc>
        <w:tc>
          <w:tcPr>
            <w:tcW w:w="1361" w:type="dxa"/>
            <w:vAlign w:val="center"/>
          </w:tcPr>
          <w:p>
            <w:pPr>
              <w:pStyle w:val="14"/>
            </w:pPr>
            <w:r>
              <w:t>174.43</w:t>
            </w:r>
          </w:p>
        </w:tc>
        <w:tc>
          <w:tcPr>
            <w:tcW w:w="1361" w:type="dxa"/>
            <w:vAlign w:val="center"/>
          </w:tcPr>
          <w:p>
            <w:pPr>
              <w:pStyle w:val="14"/>
            </w:pPr>
            <w:r>
              <w:t>8.66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2013201</w:t>
            </w:r>
          </w:p>
        </w:tc>
        <w:tc>
          <w:tcPr>
            <w:tcW w:w="4535" w:type="dxa"/>
            <w:vAlign w:val="center"/>
          </w:tcPr>
          <w:p>
            <w:pPr>
              <w:pStyle w:val="15"/>
            </w:pPr>
            <w:r>
              <w:t>行政运行</w:t>
            </w:r>
          </w:p>
        </w:tc>
        <w:tc>
          <w:tcPr>
            <w:tcW w:w="1361" w:type="dxa"/>
            <w:vAlign w:val="center"/>
          </w:tcPr>
          <w:p>
            <w:pPr>
              <w:pStyle w:val="14"/>
            </w:pPr>
            <w:r>
              <w:t>174.43</w:t>
            </w:r>
          </w:p>
        </w:tc>
        <w:tc>
          <w:tcPr>
            <w:tcW w:w="1361" w:type="dxa"/>
            <w:vAlign w:val="center"/>
          </w:tcPr>
          <w:p>
            <w:pPr>
              <w:pStyle w:val="14"/>
            </w:pPr>
            <w:r>
              <w:t>174.43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2013202</w:t>
            </w:r>
          </w:p>
        </w:tc>
        <w:tc>
          <w:tcPr>
            <w:tcW w:w="4535" w:type="dxa"/>
            <w:vAlign w:val="center"/>
          </w:tcPr>
          <w:p>
            <w:pPr>
              <w:pStyle w:val="15"/>
            </w:pPr>
            <w:r>
              <w:t>一般行政管理事务</w:t>
            </w:r>
          </w:p>
        </w:tc>
        <w:tc>
          <w:tcPr>
            <w:tcW w:w="1361" w:type="dxa"/>
            <w:vAlign w:val="center"/>
          </w:tcPr>
          <w:p>
            <w:pPr>
              <w:pStyle w:val="14"/>
            </w:pPr>
            <w:r>
              <w:t>8.66</w:t>
            </w:r>
          </w:p>
        </w:tc>
        <w:tc>
          <w:tcPr>
            <w:tcW w:w="1361" w:type="dxa"/>
            <w:vAlign w:val="center"/>
          </w:tcPr>
          <w:p>
            <w:pPr>
              <w:pStyle w:val="14"/>
            </w:pPr>
          </w:p>
        </w:tc>
        <w:tc>
          <w:tcPr>
            <w:tcW w:w="1361" w:type="dxa"/>
            <w:vAlign w:val="center"/>
          </w:tcPr>
          <w:p>
            <w:pPr>
              <w:pStyle w:val="14"/>
            </w:pPr>
            <w:r>
              <w:t>8.66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241沧县档案馆</w:t>
            </w:r>
          </w:p>
        </w:tc>
        <w:tc>
          <w:tcPr>
            <w:tcW w:w="3402" w:type="dxa"/>
            <w:tcBorders>
              <w:top w:val="single" w:color="FFFFFF" w:sz="6" w:space="0"/>
              <w:left w:val="single" w:color="FFFFFF" w:sz="6" w:space="0"/>
              <w:right w:val="single" w:color="FFFFFF" w:sz="6" w:space="0"/>
            </w:tcBorders>
            <w:vAlign w:val="center"/>
          </w:tcPr>
          <w:p>
            <w:pPr>
              <w:pStyle w:val="11"/>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183.09</w:t>
            </w:r>
          </w:p>
        </w:tc>
        <w:tc>
          <w:tcPr>
            <w:tcW w:w="3402" w:type="dxa"/>
            <w:vAlign w:val="center"/>
          </w:tcPr>
          <w:p>
            <w:pPr>
              <w:pStyle w:val="15"/>
            </w:pPr>
            <w:r>
              <w:t>一、一般公共服务支出</w:t>
            </w:r>
          </w:p>
        </w:tc>
        <w:tc>
          <w:tcPr>
            <w:tcW w:w="1474" w:type="dxa"/>
            <w:vAlign w:val="center"/>
          </w:tcPr>
          <w:p>
            <w:pPr>
              <w:pStyle w:val="14"/>
            </w:pPr>
            <w:r>
              <w:t>183.09</w:t>
            </w:r>
          </w:p>
        </w:tc>
        <w:tc>
          <w:tcPr>
            <w:tcW w:w="1474" w:type="dxa"/>
            <w:vAlign w:val="center"/>
          </w:tcPr>
          <w:p>
            <w:pPr>
              <w:pStyle w:val="14"/>
            </w:pPr>
            <w:r>
              <w:t>183.09</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7"/>
            </w:pPr>
            <w:r>
              <w:t>本年收入合计</w:t>
            </w:r>
          </w:p>
        </w:tc>
        <w:tc>
          <w:tcPr>
            <w:tcW w:w="1474" w:type="dxa"/>
            <w:vAlign w:val="center"/>
          </w:tcPr>
          <w:p>
            <w:pPr>
              <w:pStyle w:val="18"/>
            </w:pPr>
            <w:r>
              <w:t>183.09</w:t>
            </w:r>
          </w:p>
        </w:tc>
        <w:tc>
          <w:tcPr>
            <w:tcW w:w="3402" w:type="dxa"/>
            <w:vAlign w:val="center"/>
          </w:tcPr>
          <w:p>
            <w:pPr>
              <w:pStyle w:val="17"/>
            </w:pPr>
            <w:r>
              <w:t>本年支出合计</w:t>
            </w:r>
          </w:p>
        </w:tc>
        <w:tc>
          <w:tcPr>
            <w:tcW w:w="1474" w:type="dxa"/>
            <w:vAlign w:val="center"/>
          </w:tcPr>
          <w:p>
            <w:pPr>
              <w:pStyle w:val="18"/>
            </w:pPr>
            <w:r>
              <w:t>183.09</w:t>
            </w:r>
          </w:p>
        </w:tc>
        <w:tc>
          <w:tcPr>
            <w:tcW w:w="1474" w:type="dxa"/>
            <w:vAlign w:val="center"/>
          </w:tcPr>
          <w:p>
            <w:pPr>
              <w:pStyle w:val="18"/>
            </w:pPr>
            <w:r>
              <w:t>183.09</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7"/>
            </w:pPr>
            <w:r>
              <w:t>收入总计</w:t>
            </w:r>
          </w:p>
        </w:tc>
        <w:tc>
          <w:tcPr>
            <w:tcW w:w="1474" w:type="dxa"/>
            <w:vAlign w:val="center"/>
          </w:tcPr>
          <w:p>
            <w:pPr>
              <w:pStyle w:val="18"/>
            </w:pPr>
            <w:r>
              <w:t>183.09</w:t>
            </w:r>
          </w:p>
        </w:tc>
        <w:tc>
          <w:tcPr>
            <w:tcW w:w="3402" w:type="dxa"/>
            <w:vAlign w:val="center"/>
          </w:tcPr>
          <w:p>
            <w:pPr>
              <w:pStyle w:val="17"/>
            </w:pPr>
            <w:r>
              <w:t>支出总计</w:t>
            </w:r>
          </w:p>
        </w:tc>
        <w:tc>
          <w:tcPr>
            <w:tcW w:w="1474" w:type="dxa"/>
            <w:vAlign w:val="center"/>
          </w:tcPr>
          <w:p>
            <w:pPr>
              <w:pStyle w:val="18"/>
            </w:pPr>
            <w:r>
              <w:t>183.09</w:t>
            </w:r>
          </w:p>
        </w:tc>
        <w:tc>
          <w:tcPr>
            <w:tcW w:w="1474" w:type="dxa"/>
            <w:vAlign w:val="center"/>
          </w:tcPr>
          <w:p>
            <w:pPr>
              <w:pStyle w:val="18"/>
            </w:pPr>
            <w:r>
              <w:t>183.09</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241沧县档案馆</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183.09</w:t>
            </w:r>
          </w:p>
        </w:tc>
        <w:tc>
          <w:tcPr>
            <w:tcW w:w="2551" w:type="dxa"/>
            <w:vAlign w:val="center"/>
          </w:tcPr>
          <w:p>
            <w:pPr>
              <w:pStyle w:val="18"/>
            </w:pPr>
            <w:r>
              <w:t>174.43</w:t>
            </w:r>
          </w:p>
        </w:tc>
        <w:tc>
          <w:tcPr>
            <w:tcW w:w="2551" w:type="dxa"/>
            <w:vAlign w:val="center"/>
          </w:tcPr>
          <w:p>
            <w:pPr>
              <w:pStyle w:val="18"/>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201</w:t>
            </w:r>
          </w:p>
        </w:tc>
        <w:tc>
          <w:tcPr>
            <w:tcW w:w="4535" w:type="dxa"/>
            <w:vAlign w:val="center"/>
          </w:tcPr>
          <w:p>
            <w:pPr>
              <w:pStyle w:val="15"/>
            </w:pPr>
            <w:r>
              <w:t>一般公共服务支出</w:t>
            </w:r>
          </w:p>
        </w:tc>
        <w:tc>
          <w:tcPr>
            <w:tcW w:w="2551" w:type="dxa"/>
            <w:vAlign w:val="center"/>
          </w:tcPr>
          <w:p>
            <w:pPr>
              <w:pStyle w:val="14"/>
            </w:pPr>
            <w:r>
              <w:t>183.09</w:t>
            </w:r>
          </w:p>
        </w:tc>
        <w:tc>
          <w:tcPr>
            <w:tcW w:w="2551" w:type="dxa"/>
            <w:vAlign w:val="center"/>
          </w:tcPr>
          <w:p>
            <w:pPr>
              <w:pStyle w:val="14"/>
            </w:pPr>
            <w:r>
              <w:t>174.43</w:t>
            </w:r>
          </w:p>
        </w:tc>
        <w:tc>
          <w:tcPr>
            <w:tcW w:w="2551" w:type="dxa"/>
            <w:vAlign w:val="center"/>
          </w:tcPr>
          <w:p>
            <w:pPr>
              <w:pStyle w:val="14"/>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20132</w:t>
            </w:r>
          </w:p>
        </w:tc>
        <w:tc>
          <w:tcPr>
            <w:tcW w:w="4535" w:type="dxa"/>
            <w:vAlign w:val="center"/>
          </w:tcPr>
          <w:p>
            <w:pPr>
              <w:pStyle w:val="15"/>
            </w:pPr>
            <w:r>
              <w:t>组织事务</w:t>
            </w:r>
          </w:p>
        </w:tc>
        <w:tc>
          <w:tcPr>
            <w:tcW w:w="2551" w:type="dxa"/>
            <w:vAlign w:val="center"/>
          </w:tcPr>
          <w:p>
            <w:pPr>
              <w:pStyle w:val="14"/>
            </w:pPr>
            <w:r>
              <w:t>183.09</w:t>
            </w:r>
          </w:p>
        </w:tc>
        <w:tc>
          <w:tcPr>
            <w:tcW w:w="2551" w:type="dxa"/>
            <w:vAlign w:val="center"/>
          </w:tcPr>
          <w:p>
            <w:pPr>
              <w:pStyle w:val="14"/>
            </w:pPr>
            <w:r>
              <w:t>174.43</w:t>
            </w:r>
          </w:p>
        </w:tc>
        <w:tc>
          <w:tcPr>
            <w:tcW w:w="2551" w:type="dxa"/>
            <w:vAlign w:val="center"/>
          </w:tcPr>
          <w:p>
            <w:pPr>
              <w:pStyle w:val="14"/>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2013201</w:t>
            </w:r>
          </w:p>
        </w:tc>
        <w:tc>
          <w:tcPr>
            <w:tcW w:w="4535" w:type="dxa"/>
            <w:vAlign w:val="center"/>
          </w:tcPr>
          <w:p>
            <w:pPr>
              <w:pStyle w:val="15"/>
            </w:pPr>
            <w:r>
              <w:t>行政运行</w:t>
            </w:r>
          </w:p>
        </w:tc>
        <w:tc>
          <w:tcPr>
            <w:tcW w:w="2551" w:type="dxa"/>
            <w:vAlign w:val="center"/>
          </w:tcPr>
          <w:p>
            <w:pPr>
              <w:pStyle w:val="14"/>
            </w:pPr>
            <w:r>
              <w:t>174.43</w:t>
            </w:r>
          </w:p>
        </w:tc>
        <w:tc>
          <w:tcPr>
            <w:tcW w:w="2551" w:type="dxa"/>
            <w:vAlign w:val="center"/>
          </w:tcPr>
          <w:p>
            <w:pPr>
              <w:pStyle w:val="14"/>
            </w:pPr>
            <w:r>
              <w:t>174.43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2013202</w:t>
            </w:r>
          </w:p>
        </w:tc>
        <w:tc>
          <w:tcPr>
            <w:tcW w:w="4535" w:type="dxa"/>
            <w:vAlign w:val="center"/>
          </w:tcPr>
          <w:p>
            <w:pPr>
              <w:pStyle w:val="15"/>
            </w:pPr>
            <w:r>
              <w:t>一般行政管理事务</w:t>
            </w:r>
          </w:p>
        </w:tc>
        <w:tc>
          <w:tcPr>
            <w:tcW w:w="2551" w:type="dxa"/>
            <w:vAlign w:val="center"/>
          </w:tcPr>
          <w:p>
            <w:pPr>
              <w:pStyle w:val="14"/>
            </w:pPr>
            <w:r>
              <w:t>8.66</w:t>
            </w:r>
          </w:p>
        </w:tc>
        <w:tc>
          <w:tcPr>
            <w:tcW w:w="2551" w:type="dxa"/>
            <w:vAlign w:val="center"/>
          </w:tcPr>
          <w:p>
            <w:pPr>
              <w:pStyle w:val="14"/>
            </w:pPr>
          </w:p>
        </w:tc>
        <w:tc>
          <w:tcPr>
            <w:tcW w:w="2551" w:type="dxa"/>
            <w:vAlign w:val="center"/>
          </w:tcPr>
          <w:p>
            <w:pPr>
              <w:pStyle w:val="14"/>
            </w:pPr>
            <w:r>
              <w:t>8.66</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241沧县档案馆</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174.43</w:t>
            </w:r>
          </w:p>
        </w:tc>
        <w:tc>
          <w:tcPr>
            <w:tcW w:w="2551" w:type="dxa"/>
            <w:vAlign w:val="center"/>
          </w:tcPr>
          <w:p>
            <w:pPr>
              <w:pStyle w:val="18"/>
            </w:pPr>
            <w:r>
              <w:t>162.86</w:t>
            </w:r>
          </w:p>
        </w:tc>
        <w:tc>
          <w:tcPr>
            <w:tcW w:w="2551" w:type="dxa"/>
            <w:vAlign w:val="center"/>
          </w:tcPr>
          <w:p>
            <w:pPr>
              <w:pStyle w:val="18"/>
            </w:pPr>
            <w:r>
              <w:t>11.57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162.21</w:t>
            </w:r>
          </w:p>
        </w:tc>
        <w:tc>
          <w:tcPr>
            <w:tcW w:w="2551" w:type="dxa"/>
            <w:vAlign w:val="center"/>
          </w:tcPr>
          <w:p>
            <w:pPr>
              <w:pStyle w:val="14"/>
            </w:pPr>
            <w:r>
              <w:t>162.21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58.21</w:t>
            </w:r>
          </w:p>
        </w:tc>
        <w:tc>
          <w:tcPr>
            <w:tcW w:w="2551" w:type="dxa"/>
            <w:vAlign w:val="center"/>
          </w:tcPr>
          <w:p>
            <w:pPr>
              <w:pStyle w:val="14"/>
            </w:pPr>
            <w:r>
              <w:t>58.21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42.74</w:t>
            </w:r>
          </w:p>
        </w:tc>
        <w:tc>
          <w:tcPr>
            <w:tcW w:w="2551" w:type="dxa"/>
            <w:vAlign w:val="center"/>
          </w:tcPr>
          <w:p>
            <w:pPr>
              <w:pStyle w:val="14"/>
            </w:pPr>
            <w:r>
              <w:t>42.74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3.28</w:t>
            </w:r>
          </w:p>
        </w:tc>
        <w:tc>
          <w:tcPr>
            <w:tcW w:w="2551" w:type="dxa"/>
            <w:vAlign w:val="center"/>
          </w:tcPr>
          <w:p>
            <w:pPr>
              <w:pStyle w:val="14"/>
            </w:pPr>
            <w:r>
              <w:t>3.28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11.74</w:t>
            </w:r>
          </w:p>
        </w:tc>
        <w:tc>
          <w:tcPr>
            <w:tcW w:w="2551" w:type="dxa"/>
            <w:vAlign w:val="center"/>
          </w:tcPr>
          <w:p>
            <w:pPr>
              <w:pStyle w:val="14"/>
            </w:pPr>
            <w:r>
              <w:t>11.74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17.62</w:t>
            </w:r>
          </w:p>
        </w:tc>
        <w:tc>
          <w:tcPr>
            <w:tcW w:w="2551" w:type="dxa"/>
            <w:vAlign w:val="center"/>
          </w:tcPr>
          <w:p>
            <w:pPr>
              <w:pStyle w:val="14"/>
            </w:pPr>
            <w:r>
              <w:t>17.62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30110</w:t>
            </w:r>
          </w:p>
        </w:tc>
        <w:tc>
          <w:tcPr>
            <w:tcW w:w="4535" w:type="dxa"/>
            <w:vAlign w:val="center"/>
          </w:tcPr>
          <w:p>
            <w:pPr>
              <w:pStyle w:val="15"/>
            </w:pPr>
            <w:r>
              <w:t>城镇职工基本医疗保险缴费</w:t>
            </w:r>
          </w:p>
        </w:tc>
        <w:tc>
          <w:tcPr>
            <w:tcW w:w="2551" w:type="dxa"/>
            <w:vAlign w:val="center"/>
          </w:tcPr>
          <w:p>
            <w:pPr>
              <w:pStyle w:val="14"/>
            </w:pPr>
            <w:r>
              <w:t>8.80</w:t>
            </w:r>
          </w:p>
        </w:tc>
        <w:tc>
          <w:tcPr>
            <w:tcW w:w="2551" w:type="dxa"/>
            <w:vAlign w:val="center"/>
          </w:tcPr>
          <w:p>
            <w:pPr>
              <w:pStyle w:val="14"/>
            </w:pPr>
            <w:r>
              <w:t>8.80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30111</w:t>
            </w:r>
          </w:p>
        </w:tc>
        <w:tc>
          <w:tcPr>
            <w:tcW w:w="4535" w:type="dxa"/>
            <w:vAlign w:val="center"/>
          </w:tcPr>
          <w:p>
            <w:pPr>
              <w:pStyle w:val="15"/>
            </w:pPr>
            <w:r>
              <w:t>公务员医疗补助缴费</w:t>
            </w:r>
          </w:p>
        </w:tc>
        <w:tc>
          <w:tcPr>
            <w:tcW w:w="2551" w:type="dxa"/>
            <w:vAlign w:val="center"/>
          </w:tcPr>
          <w:p>
            <w:pPr>
              <w:pStyle w:val="14"/>
            </w:pPr>
            <w:r>
              <w:t>7.05</w:t>
            </w:r>
          </w:p>
        </w:tc>
        <w:tc>
          <w:tcPr>
            <w:tcW w:w="2551" w:type="dxa"/>
            <w:vAlign w:val="center"/>
          </w:tcPr>
          <w:p>
            <w:pPr>
              <w:pStyle w:val="14"/>
            </w:pPr>
            <w:r>
              <w:t>7.05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0.78</w:t>
            </w:r>
          </w:p>
        </w:tc>
        <w:tc>
          <w:tcPr>
            <w:tcW w:w="2551" w:type="dxa"/>
            <w:vAlign w:val="center"/>
          </w:tcPr>
          <w:p>
            <w:pPr>
              <w:pStyle w:val="14"/>
            </w:pPr>
            <w:r>
              <w:t>0.78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11.99</w:t>
            </w:r>
          </w:p>
        </w:tc>
        <w:tc>
          <w:tcPr>
            <w:tcW w:w="2551" w:type="dxa"/>
            <w:vAlign w:val="center"/>
          </w:tcPr>
          <w:p>
            <w:pPr>
              <w:pStyle w:val="14"/>
            </w:pPr>
            <w:r>
              <w:t>11.99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11.57</w:t>
            </w:r>
          </w:p>
        </w:tc>
        <w:tc>
          <w:tcPr>
            <w:tcW w:w="2551" w:type="dxa"/>
            <w:vAlign w:val="center"/>
          </w:tcPr>
          <w:p>
            <w:pPr>
              <w:pStyle w:val="14"/>
            </w:pPr>
          </w:p>
        </w:tc>
        <w:tc>
          <w:tcPr>
            <w:tcW w:w="2551" w:type="dxa"/>
            <w:vAlign w:val="center"/>
          </w:tcPr>
          <w:p>
            <w:pPr>
              <w:pStyle w:val="14"/>
            </w:pPr>
            <w:r>
              <w:t>11.57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0.48</w:t>
            </w:r>
          </w:p>
        </w:tc>
        <w:tc>
          <w:tcPr>
            <w:tcW w:w="2551" w:type="dxa"/>
            <w:vAlign w:val="center"/>
          </w:tcPr>
          <w:p>
            <w:pPr>
              <w:pStyle w:val="14"/>
            </w:pPr>
          </w:p>
        </w:tc>
        <w:tc>
          <w:tcPr>
            <w:tcW w:w="2551" w:type="dxa"/>
            <w:vAlign w:val="center"/>
          </w:tcPr>
          <w:p>
            <w:pPr>
              <w:pStyle w:val="14"/>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30202</w:t>
            </w:r>
          </w:p>
        </w:tc>
        <w:tc>
          <w:tcPr>
            <w:tcW w:w="4535" w:type="dxa"/>
            <w:vAlign w:val="center"/>
          </w:tcPr>
          <w:p>
            <w:pPr>
              <w:pStyle w:val="15"/>
            </w:pPr>
            <w:r>
              <w:t>印刷费</w:t>
            </w:r>
          </w:p>
        </w:tc>
        <w:tc>
          <w:tcPr>
            <w:tcW w:w="2551" w:type="dxa"/>
            <w:vAlign w:val="center"/>
          </w:tcPr>
          <w:p>
            <w:pPr>
              <w:pStyle w:val="14"/>
            </w:pPr>
            <w:r>
              <w:t>0.08</w:t>
            </w:r>
          </w:p>
        </w:tc>
        <w:tc>
          <w:tcPr>
            <w:tcW w:w="2551" w:type="dxa"/>
            <w:vAlign w:val="center"/>
          </w:tcPr>
          <w:p>
            <w:pPr>
              <w:pStyle w:val="14"/>
            </w:pPr>
          </w:p>
        </w:tc>
        <w:tc>
          <w:tcPr>
            <w:tcW w:w="2551" w:type="dxa"/>
            <w:vAlign w:val="center"/>
          </w:tcPr>
          <w:p>
            <w:pPr>
              <w:pStyle w:val="14"/>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30205</w:t>
            </w:r>
          </w:p>
        </w:tc>
        <w:tc>
          <w:tcPr>
            <w:tcW w:w="4535" w:type="dxa"/>
            <w:vAlign w:val="center"/>
          </w:tcPr>
          <w:p>
            <w:pPr>
              <w:pStyle w:val="15"/>
            </w:pPr>
            <w:r>
              <w:t>水费</w:t>
            </w:r>
          </w:p>
        </w:tc>
        <w:tc>
          <w:tcPr>
            <w:tcW w:w="2551" w:type="dxa"/>
            <w:vAlign w:val="center"/>
          </w:tcPr>
          <w:p>
            <w:pPr>
              <w:pStyle w:val="14"/>
            </w:pPr>
            <w:r>
              <w:t>0.24</w:t>
            </w:r>
          </w:p>
        </w:tc>
        <w:tc>
          <w:tcPr>
            <w:tcW w:w="2551" w:type="dxa"/>
            <w:vAlign w:val="center"/>
          </w:tcPr>
          <w:p>
            <w:pPr>
              <w:pStyle w:val="14"/>
            </w:pPr>
          </w:p>
        </w:tc>
        <w:tc>
          <w:tcPr>
            <w:tcW w:w="2551" w:type="dxa"/>
            <w:vAlign w:val="center"/>
          </w:tcPr>
          <w:p>
            <w:pPr>
              <w:pStyle w:val="14"/>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30206</w:t>
            </w:r>
          </w:p>
        </w:tc>
        <w:tc>
          <w:tcPr>
            <w:tcW w:w="4535" w:type="dxa"/>
            <w:vAlign w:val="center"/>
          </w:tcPr>
          <w:p>
            <w:pPr>
              <w:pStyle w:val="15"/>
            </w:pPr>
            <w:r>
              <w:t>电费</w:t>
            </w:r>
          </w:p>
        </w:tc>
        <w:tc>
          <w:tcPr>
            <w:tcW w:w="2551" w:type="dxa"/>
            <w:vAlign w:val="center"/>
          </w:tcPr>
          <w:p>
            <w:pPr>
              <w:pStyle w:val="14"/>
            </w:pPr>
            <w:r>
              <w:t>0.44</w:t>
            </w:r>
          </w:p>
        </w:tc>
        <w:tc>
          <w:tcPr>
            <w:tcW w:w="2551" w:type="dxa"/>
            <w:vAlign w:val="center"/>
          </w:tcPr>
          <w:p>
            <w:pPr>
              <w:pStyle w:val="14"/>
            </w:pPr>
          </w:p>
        </w:tc>
        <w:tc>
          <w:tcPr>
            <w:tcW w:w="2551" w:type="dxa"/>
            <w:vAlign w:val="center"/>
          </w:tcPr>
          <w:p>
            <w:pPr>
              <w:pStyle w:val="14"/>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30207</w:t>
            </w:r>
          </w:p>
        </w:tc>
        <w:tc>
          <w:tcPr>
            <w:tcW w:w="4535" w:type="dxa"/>
            <w:vAlign w:val="center"/>
          </w:tcPr>
          <w:p>
            <w:pPr>
              <w:pStyle w:val="15"/>
            </w:pPr>
            <w:r>
              <w:t>邮电费</w:t>
            </w:r>
          </w:p>
        </w:tc>
        <w:tc>
          <w:tcPr>
            <w:tcW w:w="2551" w:type="dxa"/>
            <w:vAlign w:val="center"/>
          </w:tcPr>
          <w:p>
            <w:pPr>
              <w:pStyle w:val="14"/>
            </w:pPr>
            <w:r>
              <w:t>0.31</w:t>
            </w:r>
          </w:p>
        </w:tc>
        <w:tc>
          <w:tcPr>
            <w:tcW w:w="2551" w:type="dxa"/>
            <w:vAlign w:val="center"/>
          </w:tcPr>
          <w:p>
            <w:pPr>
              <w:pStyle w:val="14"/>
            </w:pPr>
          </w:p>
        </w:tc>
        <w:tc>
          <w:tcPr>
            <w:tcW w:w="2551" w:type="dxa"/>
            <w:vAlign w:val="center"/>
          </w:tcPr>
          <w:p>
            <w:pPr>
              <w:pStyle w:val="14"/>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0.48</w:t>
            </w:r>
          </w:p>
        </w:tc>
        <w:tc>
          <w:tcPr>
            <w:tcW w:w="2551" w:type="dxa"/>
            <w:vAlign w:val="center"/>
          </w:tcPr>
          <w:p>
            <w:pPr>
              <w:pStyle w:val="14"/>
            </w:pPr>
          </w:p>
        </w:tc>
        <w:tc>
          <w:tcPr>
            <w:tcW w:w="2551" w:type="dxa"/>
            <w:vAlign w:val="center"/>
          </w:tcPr>
          <w:p>
            <w:pPr>
              <w:pStyle w:val="14"/>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30217</w:t>
            </w:r>
          </w:p>
        </w:tc>
        <w:tc>
          <w:tcPr>
            <w:tcW w:w="4535" w:type="dxa"/>
            <w:vAlign w:val="center"/>
          </w:tcPr>
          <w:p>
            <w:pPr>
              <w:pStyle w:val="15"/>
            </w:pPr>
            <w:r>
              <w:t>公务接待费</w:t>
            </w:r>
          </w:p>
        </w:tc>
        <w:tc>
          <w:tcPr>
            <w:tcW w:w="2551" w:type="dxa"/>
            <w:vAlign w:val="center"/>
          </w:tcPr>
          <w:p>
            <w:pPr>
              <w:pStyle w:val="14"/>
            </w:pPr>
            <w:r>
              <w:t>0.02</w:t>
            </w:r>
          </w:p>
        </w:tc>
        <w:tc>
          <w:tcPr>
            <w:tcW w:w="2551" w:type="dxa"/>
            <w:vAlign w:val="center"/>
          </w:tcPr>
          <w:p>
            <w:pPr>
              <w:pStyle w:val="14"/>
            </w:pPr>
          </w:p>
        </w:tc>
        <w:tc>
          <w:tcPr>
            <w:tcW w:w="2551" w:type="dxa"/>
            <w:vAlign w:val="center"/>
          </w:tcPr>
          <w:p>
            <w:pPr>
              <w:pStyle w:val="14"/>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30228</w:t>
            </w:r>
          </w:p>
        </w:tc>
        <w:tc>
          <w:tcPr>
            <w:tcW w:w="4535" w:type="dxa"/>
            <w:vAlign w:val="center"/>
          </w:tcPr>
          <w:p>
            <w:pPr>
              <w:pStyle w:val="15"/>
            </w:pPr>
            <w:r>
              <w:t>工会经费</w:t>
            </w:r>
          </w:p>
        </w:tc>
        <w:tc>
          <w:tcPr>
            <w:tcW w:w="2551" w:type="dxa"/>
            <w:vAlign w:val="center"/>
          </w:tcPr>
          <w:p>
            <w:pPr>
              <w:pStyle w:val="14"/>
            </w:pPr>
            <w:r>
              <w:t>1.20</w:t>
            </w:r>
          </w:p>
        </w:tc>
        <w:tc>
          <w:tcPr>
            <w:tcW w:w="2551" w:type="dxa"/>
            <w:vAlign w:val="center"/>
          </w:tcPr>
          <w:p>
            <w:pPr>
              <w:pStyle w:val="14"/>
            </w:pPr>
          </w:p>
        </w:tc>
        <w:tc>
          <w:tcPr>
            <w:tcW w:w="2551" w:type="dxa"/>
            <w:vAlign w:val="center"/>
          </w:tcPr>
          <w:p>
            <w:pPr>
              <w:pStyle w:val="14"/>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30229</w:t>
            </w:r>
          </w:p>
        </w:tc>
        <w:tc>
          <w:tcPr>
            <w:tcW w:w="4535" w:type="dxa"/>
            <w:vAlign w:val="center"/>
          </w:tcPr>
          <w:p>
            <w:pPr>
              <w:pStyle w:val="15"/>
            </w:pPr>
            <w:r>
              <w:t>福利费</w:t>
            </w:r>
          </w:p>
        </w:tc>
        <w:tc>
          <w:tcPr>
            <w:tcW w:w="2551" w:type="dxa"/>
            <w:vAlign w:val="center"/>
          </w:tcPr>
          <w:p>
            <w:pPr>
              <w:pStyle w:val="14"/>
            </w:pPr>
            <w:r>
              <w:t>1.46</w:t>
            </w:r>
          </w:p>
        </w:tc>
        <w:tc>
          <w:tcPr>
            <w:tcW w:w="2551" w:type="dxa"/>
            <w:vAlign w:val="center"/>
          </w:tcPr>
          <w:p>
            <w:pPr>
              <w:pStyle w:val="14"/>
            </w:pPr>
          </w:p>
        </w:tc>
        <w:tc>
          <w:tcPr>
            <w:tcW w:w="2551" w:type="dxa"/>
            <w:vAlign w:val="center"/>
          </w:tcPr>
          <w:p>
            <w:pPr>
              <w:pStyle w:val="14"/>
            </w:pPr>
            <w: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4"/>
            </w:pPr>
            <w:r>
              <w:t>1.30</w:t>
            </w:r>
          </w:p>
        </w:tc>
        <w:tc>
          <w:tcPr>
            <w:tcW w:w="2551" w:type="dxa"/>
            <w:vAlign w:val="center"/>
          </w:tcPr>
          <w:p>
            <w:pPr>
              <w:pStyle w:val="14"/>
            </w:pPr>
          </w:p>
        </w:tc>
        <w:tc>
          <w:tcPr>
            <w:tcW w:w="2551" w:type="dxa"/>
            <w:vAlign w:val="center"/>
          </w:tcPr>
          <w:p>
            <w:pPr>
              <w:pStyle w:val="14"/>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5.46</w:t>
            </w:r>
          </w:p>
        </w:tc>
        <w:tc>
          <w:tcPr>
            <w:tcW w:w="2551" w:type="dxa"/>
            <w:vAlign w:val="center"/>
          </w:tcPr>
          <w:p>
            <w:pPr>
              <w:pStyle w:val="14"/>
            </w:pPr>
          </w:p>
        </w:tc>
        <w:tc>
          <w:tcPr>
            <w:tcW w:w="2551" w:type="dxa"/>
            <w:vAlign w:val="center"/>
          </w:tcPr>
          <w:p>
            <w:pPr>
              <w:pStyle w:val="14"/>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30299</w:t>
            </w:r>
          </w:p>
        </w:tc>
        <w:tc>
          <w:tcPr>
            <w:tcW w:w="4535" w:type="dxa"/>
            <w:vAlign w:val="center"/>
          </w:tcPr>
          <w:p>
            <w:pPr>
              <w:pStyle w:val="15"/>
            </w:pPr>
            <w:r>
              <w:t>其他商品和服务支出</w:t>
            </w:r>
          </w:p>
        </w:tc>
        <w:tc>
          <w:tcPr>
            <w:tcW w:w="2551" w:type="dxa"/>
            <w:vAlign w:val="center"/>
          </w:tcPr>
          <w:p>
            <w:pPr>
              <w:pStyle w:val="14"/>
            </w:pPr>
            <w:r>
              <w:t>0.10</w:t>
            </w:r>
          </w:p>
        </w:tc>
        <w:tc>
          <w:tcPr>
            <w:tcW w:w="2551" w:type="dxa"/>
            <w:vAlign w:val="center"/>
          </w:tcPr>
          <w:p>
            <w:pPr>
              <w:pStyle w:val="14"/>
            </w:pPr>
          </w:p>
        </w:tc>
        <w:tc>
          <w:tcPr>
            <w:tcW w:w="2551" w:type="dxa"/>
            <w:vAlign w:val="center"/>
          </w:tcPr>
          <w:p>
            <w:pPr>
              <w:pStyle w:val="14"/>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0.65</w:t>
            </w:r>
          </w:p>
        </w:tc>
        <w:tc>
          <w:tcPr>
            <w:tcW w:w="2551" w:type="dxa"/>
            <w:vAlign w:val="center"/>
          </w:tcPr>
          <w:p>
            <w:pPr>
              <w:pStyle w:val="14"/>
            </w:pPr>
            <w:r>
              <w:t>0.65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0.62</w:t>
            </w:r>
          </w:p>
        </w:tc>
        <w:tc>
          <w:tcPr>
            <w:tcW w:w="2551" w:type="dxa"/>
            <w:vAlign w:val="center"/>
          </w:tcPr>
          <w:p>
            <w:pPr>
              <w:pStyle w:val="14"/>
            </w:pPr>
            <w:r>
              <w:t>0.62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1191" w:type="dxa"/>
            <w:vAlign w:val="center"/>
          </w:tcPr>
          <w:p>
            <w:pPr>
              <w:pStyle w:val="15"/>
            </w:pPr>
            <w:r>
              <w:t>30309</w:t>
            </w:r>
          </w:p>
        </w:tc>
        <w:tc>
          <w:tcPr>
            <w:tcW w:w="4535" w:type="dxa"/>
            <w:vAlign w:val="center"/>
          </w:tcPr>
          <w:p>
            <w:pPr>
              <w:pStyle w:val="15"/>
            </w:pPr>
            <w:r>
              <w:t>奖励金</w:t>
            </w:r>
          </w:p>
        </w:tc>
        <w:tc>
          <w:tcPr>
            <w:tcW w:w="2551" w:type="dxa"/>
            <w:vAlign w:val="center"/>
          </w:tcPr>
          <w:p>
            <w:pPr>
              <w:pStyle w:val="14"/>
            </w:pPr>
            <w:r>
              <w:t>0.03</w:t>
            </w:r>
          </w:p>
        </w:tc>
        <w:tc>
          <w:tcPr>
            <w:tcW w:w="2551" w:type="dxa"/>
            <w:vAlign w:val="center"/>
          </w:tcPr>
          <w:p>
            <w:pPr>
              <w:pStyle w:val="14"/>
            </w:pPr>
            <w:r>
              <w:t>0.03</w:t>
            </w:r>
          </w:p>
        </w:tc>
        <w:tc>
          <w:tcPr>
            <w:tcW w:w="2551" w:type="dxa"/>
            <w:vAlign w:val="center"/>
          </w:tcPr>
          <w:p>
            <w:pPr>
              <w:pStyle w:val="14"/>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241沧县档案馆</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241沧县档案馆</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bookmarkStart w:id="18" w:name="_GoBack"/>
      <w:bookmarkEnd w:id="18"/>
      <w:r>
        <w:rPr>
          <w:rFonts w:ascii="方正书宋_GBK" w:hAnsi="方正书宋_GBK" w:eastAsia="方正书宋_GBK" w:cs="方正书宋_GBK"/>
          <w:color w:val="000000"/>
          <w:sz w:val="21"/>
        </w:rPr>
        <w:t>。</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8"/>
        <w:gridCol w:w="1599"/>
        <w:gridCol w:w="1112"/>
        <w:gridCol w:w="1168"/>
        <w:gridCol w:w="222"/>
        <w:gridCol w:w="983"/>
        <w:gridCol w:w="660"/>
        <w:gridCol w:w="636"/>
        <w:gridCol w:w="1357"/>
        <w:gridCol w:w="1292"/>
        <w:gridCol w:w="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5"/>
            <w:tcBorders>
              <w:top w:val="single" w:color="FFFFFF" w:sz="6" w:space="0"/>
              <w:left w:val="single" w:color="FFFFFF" w:sz="6" w:space="0"/>
              <w:right w:val="single" w:color="FFFFFF" w:sz="6" w:space="0"/>
            </w:tcBorders>
            <w:vAlign w:val="center"/>
          </w:tcPr>
          <w:p>
            <w:pPr>
              <w:pStyle w:val="12"/>
            </w:pPr>
            <w:r>
              <w:t>225中共沧县县委机构编制委员会办公室</w:t>
            </w:r>
          </w:p>
        </w:tc>
        <w:tc>
          <w:tcPr>
            <w:tcW w:w="1643"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369" w:hRule="atLeast"/>
          <w:tblHeader/>
          <w:jc w:val="center"/>
        </w:trPr>
        <w:tc>
          <w:tcPr>
            <w:tcW w:w="828" w:type="dxa"/>
            <w:vMerge w:val="restart"/>
            <w:noWrap w:val="0"/>
            <w:vAlign w:val="center"/>
          </w:tcPr>
          <w:p>
            <w:pPr>
              <w:pStyle w:val="13"/>
              <w:rPr>
                <w:highlight w:val="none"/>
              </w:rPr>
            </w:pPr>
            <w:r>
              <w:rPr>
                <w:highlight w:val="none"/>
              </w:rPr>
              <w:t>序号</w:t>
            </w:r>
          </w:p>
        </w:tc>
        <w:tc>
          <w:tcPr>
            <w:tcW w:w="1599" w:type="dxa"/>
            <w:vMerge w:val="restart"/>
            <w:noWrap w:val="0"/>
            <w:vAlign w:val="center"/>
          </w:tcPr>
          <w:p>
            <w:pPr>
              <w:pStyle w:val="13"/>
              <w:rPr>
                <w:highlight w:val="none"/>
              </w:rPr>
            </w:pPr>
            <w:r>
              <w:rPr>
                <w:rFonts w:hint="eastAsia"/>
                <w:highlight w:val="none"/>
              </w:rPr>
              <w:t>部门名称</w:t>
            </w:r>
            <w:r>
              <w:rPr>
                <w:rFonts w:hint="eastAsia"/>
                <w:highlight w:val="none"/>
                <w:lang w:val="en-US" w:eastAsia="zh-CN"/>
              </w:rPr>
              <w:t xml:space="preserve">   </w:t>
            </w:r>
            <w:r>
              <w:rPr>
                <w:rFonts w:hint="eastAsia"/>
                <w:highlight w:val="none"/>
              </w:rPr>
              <w:t>（单位名称）</w:t>
            </w:r>
          </w:p>
        </w:tc>
        <w:tc>
          <w:tcPr>
            <w:tcW w:w="1112" w:type="dxa"/>
            <w:vMerge w:val="restart"/>
            <w:noWrap w:val="0"/>
            <w:vAlign w:val="center"/>
          </w:tcPr>
          <w:p>
            <w:pPr>
              <w:pStyle w:val="13"/>
              <w:rPr>
                <w:highlight w:val="none"/>
              </w:rPr>
            </w:pPr>
            <w:r>
              <w:rPr>
                <w:rFonts w:hint="eastAsia"/>
                <w:highlight w:val="none"/>
              </w:rPr>
              <w:t>“三公”经费合计</w:t>
            </w:r>
          </w:p>
        </w:tc>
        <w:tc>
          <w:tcPr>
            <w:tcW w:w="1168" w:type="dxa"/>
            <w:vMerge w:val="restart"/>
            <w:noWrap w:val="0"/>
            <w:vAlign w:val="center"/>
          </w:tcPr>
          <w:p>
            <w:pPr>
              <w:pStyle w:val="13"/>
              <w:rPr>
                <w:highlight w:val="none"/>
              </w:rPr>
            </w:pPr>
            <w:r>
              <w:rPr>
                <w:rFonts w:hint="eastAsia"/>
                <w:highlight w:val="none"/>
              </w:rPr>
              <w:t>因公出国（境）费</w:t>
            </w:r>
          </w:p>
        </w:tc>
        <w:tc>
          <w:tcPr>
            <w:tcW w:w="3858" w:type="dxa"/>
            <w:gridSpan w:val="5"/>
            <w:noWrap w:val="0"/>
            <w:vAlign w:val="center"/>
          </w:tcPr>
          <w:p>
            <w:pPr>
              <w:pStyle w:val="13"/>
              <w:rPr>
                <w:rFonts w:hint="eastAsia"/>
                <w:b w:val="0"/>
                <w:bCs/>
                <w:highlight w:val="none"/>
              </w:rPr>
            </w:pPr>
            <w:r>
              <w:rPr>
                <w:rFonts w:hint="eastAsia"/>
                <w:b w:val="0"/>
                <w:bCs/>
                <w:highlight w:val="none"/>
              </w:rPr>
              <w:t>公务用车购置及运行费</w:t>
            </w:r>
          </w:p>
        </w:tc>
        <w:tc>
          <w:tcPr>
            <w:tcW w:w="1292" w:type="dxa"/>
            <w:vMerge w:val="restart"/>
            <w:noWrap w:val="0"/>
            <w:vAlign w:val="center"/>
          </w:tcPr>
          <w:p>
            <w:pPr>
              <w:pStyle w:val="13"/>
              <w:rPr>
                <w:rFonts w:hint="eastAsia"/>
                <w:highlight w:val="none"/>
              </w:rPr>
            </w:pPr>
            <w:r>
              <w:rPr>
                <w:rFonts w:hint="eastAsia"/>
                <w:highlight w:val="none"/>
              </w:rPr>
              <w:t>公务接待费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567" w:hRule="atLeast"/>
          <w:tblHeader/>
          <w:jc w:val="center"/>
        </w:trPr>
        <w:tc>
          <w:tcPr>
            <w:tcW w:w="828" w:type="dxa"/>
            <w:vMerge w:val="continue"/>
            <w:noWrap w:val="0"/>
            <w:vAlign w:val="top"/>
          </w:tcPr>
          <w:p>
            <w:pPr>
              <w:rPr>
                <w:highlight w:val="none"/>
              </w:rPr>
            </w:pPr>
          </w:p>
        </w:tc>
        <w:tc>
          <w:tcPr>
            <w:tcW w:w="1599" w:type="dxa"/>
            <w:vMerge w:val="continue"/>
            <w:noWrap w:val="0"/>
            <w:vAlign w:val="top"/>
          </w:tcPr>
          <w:p>
            <w:pPr>
              <w:rPr>
                <w:highlight w:val="none"/>
              </w:rPr>
            </w:pPr>
          </w:p>
        </w:tc>
        <w:tc>
          <w:tcPr>
            <w:tcW w:w="1112" w:type="dxa"/>
            <w:vMerge w:val="continue"/>
            <w:noWrap w:val="0"/>
            <w:vAlign w:val="center"/>
          </w:tcPr>
          <w:p>
            <w:pPr>
              <w:pStyle w:val="13"/>
              <w:rPr>
                <w:highlight w:val="none"/>
              </w:rPr>
            </w:pPr>
          </w:p>
        </w:tc>
        <w:tc>
          <w:tcPr>
            <w:tcW w:w="1168" w:type="dxa"/>
            <w:vMerge w:val="continue"/>
            <w:noWrap w:val="0"/>
            <w:vAlign w:val="center"/>
          </w:tcPr>
          <w:p>
            <w:pPr>
              <w:pStyle w:val="13"/>
              <w:rPr>
                <w:highlight w:val="none"/>
              </w:rPr>
            </w:pPr>
          </w:p>
        </w:tc>
        <w:tc>
          <w:tcPr>
            <w:tcW w:w="1205" w:type="dxa"/>
            <w:gridSpan w:val="2"/>
            <w:noWrap w:val="0"/>
            <w:vAlign w:val="center"/>
          </w:tcPr>
          <w:p>
            <w:pPr>
              <w:pStyle w:val="13"/>
              <w:ind w:firstLine="0" w:firstLineChars="0"/>
              <w:rPr>
                <w:rFonts w:ascii="方正书宋_GBK" w:hAnsi="方正书宋_GBK" w:eastAsia="方正书宋_GBK" w:cs="方正书宋_GBK"/>
                <w:b/>
                <w:kern w:val="2"/>
                <w:sz w:val="21"/>
                <w:szCs w:val="21"/>
                <w:highlight w:val="none"/>
                <w:lang w:val="en-US" w:eastAsia="zh-CN" w:bidi="ar-SA"/>
              </w:rPr>
            </w:pPr>
            <w:r>
              <w:rPr>
                <w:rFonts w:hint="eastAsia"/>
                <w:highlight w:val="none"/>
              </w:rPr>
              <w:t>小计</w:t>
            </w:r>
          </w:p>
        </w:tc>
        <w:tc>
          <w:tcPr>
            <w:tcW w:w="1296" w:type="dxa"/>
            <w:gridSpan w:val="2"/>
            <w:noWrap w:val="0"/>
            <w:vAlign w:val="center"/>
          </w:tcPr>
          <w:p>
            <w:pPr>
              <w:pStyle w:val="13"/>
              <w:ind w:firstLine="0" w:firstLineChars="0"/>
              <w:rPr>
                <w:rFonts w:ascii="方正书宋_GBK" w:hAnsi="方正书宋_GBK" w:eastAsia="方正书宋_GBK" w:cs="方正书宋_GBK"/>
                <w:b/>
                <w:kern w:val="2"/>
                <w:sz w:val="21"/>
                <w:szCs w:val="21"/>
                <w:highlight w:val="none"/>
                <w:lang w:val="en-US" w:eastAsia="zh-CN" w:bidi="ar-SA"/>
              </w:rPr>
            </w:pPr>
            <w:r>
              <w:rPr>
                <w:rFonts w:hint="eastAsia"/>
                <w:highlight w:val="none"/>
              </w:rPr>
              <w:t>公务用车购置费</w:t>
            </w:r>
          </w:p>
        </w:tc>
        <w:tc>
          <w:tcPr>
            <w:tcW w:w="1357" w:type="dxa"/>
            <w:noWrap w:val="0"/>
            <w:vAlign w:val="center"/>
          </w:tcPr>
          <w:p>
            <w:pPr>
              <w:pStyle w:val="13"/>
              <w:ind w:firstLine="0" w:firstLineChars="0"/>
              <w:rPr>
                <w:rFonts w:hint="eastAsia" w:ascii="方正书宋_GBK" w:hAnsi="方正书宋_GBK" w:eastAsia="方正书宋_GBK" w:cs="方正书宋_GBK"/>
                <w:b/>
                <w:kern w:val="2"/>
                <w:sz w:val="21"/>
                <w:szCs w:val="21"/>
                <w:highlight w:val="none"/>
                <w:lang w:val="en-US" w:eastAsia="zh-CN" w:bidi="ar-SA"/>
              </w:rPr>
            </w:pPr>
            <w:r>
              <w:rPr>
                <w:rFonts w:hint="eastAsia"/>
                <w:highlight w:val="none"/>
              </w:rPr>
              <w:t>公务用车运行费</w:t>
            </w:r>
          </w:p>
        </w:tc>
        <w:tc>
          <w:tcPr>
            <w:tcW w:w="1292" w:type="dxa"/>
            <w:vMerge w:val="continue"/>
            <w:noWrap w:val="0"/>
            <w:vAlign w:val="center"/>
          </w:tcPr>
          <w:p>
            <w:pPr>
              <w:pStyle w:val="13"/>
              <w:rPr>
                <w:rFonts w:hint="eastAsia"/>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567" w:hRule="atLeast"/>
          <w:tblHeader/>
          <w:jc w:val="center"/>
        </w:trPr>
        <w:tc>
          <w:tcPr>
            <w:tcW w:w="828" w:type="dxa"/>
            <w:noWrap w:val="0"/>
            <w:vAlign w:val="center"/>
          </w:tcPr>
          <w:p>
            <w:pPr>
              <w:pStyle w:val="13"/>
              <w:rPr>
                <w:highlight w:val="none"/>
              </w:rPr>
            </w:pPr>
            <w:r>
              <w:rPr>
                <w:highlight w:val="none"/>
              </w:rPr>
              <w:t>栏次</w:t>
            </w:r>
          </w:p>
        </w:tc>
        <w:tc>
          <w:tcPr>
            <w:tcW w:w="1599" w:type="dxa"/>
            <w:noWrap w:val="0"/>
            <w:vAlign w:val="center"/>
          </w:tcPr>
          <w:p>
            <w:pPr>
              <w:pStyle w:val="13"/>
              <w:rPr>
                <w:highlight w:val="none"/>
              </w:rPr>
            </w:pPr>
            <w:r>
              <w:rPr>
                <w:highlight w:val="none"/>
              </w:rPr>
              <w:t>1</w:t>
            </w:r>
          </w:p>
        </w:tc>
        <w:tc>
          <w:tcPr>
            <w:tcW w:w="1112" w:type="dxa"/>
            <w:noWrap w:val="0"/>
            <w:vAlign w:val="center"/>
          </w:tcPr>
          <w:p>
            <w:pPr>
              <w:pStyle w:val="13"/>
              <w:rPr>
                <w:highlight w:val="none"/>
              </w:rPr>
            </w:pPr>
            <w:r>
              <w:rPr>
                <w:highlight w:val="none"/>
              </w:rPr>
              <w:t>2</w:t>
            </w:r>
          </w:p>
        </w:tc>
        <w:tc>
          <w:tcPr>
            <w:tcW w:w="1168" w:type="dxa"/>
            <w:noWrap w:val="0"/>
            <w:vAlign w:val="center"/>
          </w:tcPr>
          <w:p>
            <w:pPr>
              <w:pStyle w:val="13"/>
              <w:rPr>
                <w:highlight w:val="none"/>
              </w:rPr>
            </w:pPr>
            <w:r>
              <w:rPr>
                <w:highlight w:val="none"/>
              </w:rPr>
              <w:t>3</w:t>
            </w:r>
          </w:p>
        </w:tc>
        <w:tc>
          <w:tcPr>
            <w:tcW w:w="1205" w:type="dxa"/>
            <w:gridSpan w:val="2"/>
            <w:noWrap w:val="0"/>
            <w:vAlign w:val="center"/>
          </w:tcPr>
          <w:p>
            <w:pPr>
              <w:pStyle w:val="13"/>
              <w:rPr>
                <w:highlight w:val="none"/>
              </w:rPr>
            </w:pPr>
            <w:r>
              <w:rPr>
                <w:highlight w:val="none"/>
              </w:rPr>
              <w:t>4</w:t>
            </w:r>
          </w:p>
        </w:tc>
        <w:tc>
          <w:tcPr>
            <w:tcW w:w="1296" w:type="dxa"/>
            <w:gridSpan w:val="2"/>
            <w:noWrap w:val="0"/>
            <w:vAlign w:val="center"/>
          </w:tcPr>
          <w:p>
            <w:pPr>
              <w:pStyle w:val="13"/>
              <w:rPr>
                <w:highlight w:val="none"/>
              </w:rPr>
            </w:pPr>
            <w:r>
              <w:rPr>
                <w:highlight w:val="none"/>
              </w:rPr>
              <w:t>5</w:t>
            </w:r>
          </w:p>
        </w:tc>
        <w:tc>
          <w:tcPr>
            <w:tcW w:w="1357" w:type="dxa"/>
            <w:noWrap w:val="0"/>
            <w:vAlign w:val="center"/>
          </w:tcPr>
          <w:p>
            <w:pPr>
              <w:pStyle w:val="13"/>
              <w:rPr>
                <w:rFonts w:hint="eastAsia" w:eastAsia="方正书宋_GBK"/>
                <w:highlight w:val="none"/>
                <w:lang w:val="en-US" w:eastAsia="zh-CN"/>
              </w:rPr>
            </w:pPr>
            <w:r>
              <w:rPr>
                <w:rFonts w:hint="eastAsia"/>
                <w:highlight w:val="none"/>
                <w:lang w:val="en-US" w:eastAsia="zh-CN"/>
              </w:rPr>
              <w:t>6</w:t>
            </w:r>
          </w:p>
        </w:tc>
        <w:tc>
          <w:tcPr>
            <w:tcW w:w="1292" w:type="dxa"/>
            <w:noWrap w:val="0"/>
            <w:vAlign w:val="center"/>
          </w:tcPr>
          <w:p>
            <w:pPr>
              <w:pStyle w:val="13"/>
              <w:rPr>
                <w:rFonts w:hint="eastAsia" w:eastAsia="方正书宋_GBK"/>
                <w:highlight w:val="none"/>
                <w:lang w:val="en-US" w:eastAsia="zh-CN"/>
              </w:rPr>
            </w:pPr>
            <w:r>
              <w:rPr>
                <w:rFonts w:hint="eastAsia"/>
                <w:highlight w:val="none"/>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567" w:hRule="atLeast"/>
          <w:jc w:val="center"/>
        </w:trPr>
        <w:tc>
          <w:tcPr>
            <w:tcW w:w="828" w:type="dxa"/>
            <w:noWrap w:val="0"/>
            <w:vAlign w:val="center"/>
          </w:tcPr>
          <w:p>
            <w:pPr>
              <w:pStyle w:val="16"/>
              <w:rPr>
                <w:rFonts w:hint="eastAsia" w:eastAsia="方正书宋_GBK"/>
                <w:highlight w:val="none"/>
                <w:lang w:val="en-US" w:eastAsia="zh-CN"/>
              </w:rPr>
            </w:pPr>
            <w:r>
              <w:rPr>
                <w:rFonts w:hint="eastAsia"/>
                <w:highlight w:val="none"/>
                <w:lang w:val="en-US" w:eastAsia="zh-CN"/>
              </w:rPr>
              <w:t>1</w:t>
            </w:r>
          </w:p>
        </w:tc>
        <w:tc>
          <w:tcPr>
            <w:tcW w:w="1599" w:type="dxa"/>
            <w:noWrap w:val="0"/>
            <w:vAlign w:val="center"/>
          </w:tcPr>
          <w:p>
            <w:pPr>
              <w:pStyle w:val="15"/>
              <w:rPr>
                <w:highlight w:val="none"/>
              </w:rPr>
            </w:pPr>
            <w:r>
              <w:t>中共沧县县委机构编制委员会办公室</w:t>
            </w:r>
          </w:p>
        </w:tc>
        <w:tc>
          <w:tcPr>
            <w:tcW w:w="1112" w:type="dxa"/>
            <w:noWrap w:val="0"/>
            <w:vAlign w:val="center"/>
          </w:tcPr>
          <w:p>
            <w:pPr>
              <w:pStyle w:val="14"/>
              <w:rPr>
                <w:rFonts w:hint="default" w:eastAsia="方正书宋_GBK"/>
                <w:highlight w:val="none"/>
                <w:lang w:val="en-US" w:eastAsia="zh-CN"/>
              </w:rPr>
            </w:pPr>
            <w:r>
              <w:rPr>
                <w:rFonts w:hint="eastAsia"/>
                <w:highlight w:val="none"/>
                <w:lang w:val="en-US" w:eastAsia="zh-CN"/>
              </w:rPr>
              <w:t>1.32</w:t>
            </w:r>
          </w:p>
        </w:tc>
        <w:tc>
          <w:tcPr>
            <w:tcW w:w="1168" w:type="dxa"/>
            <w:noWrap w:val="0"/>
            <w:vAlign w:val="center"/>
          </w:tcPr>
          <w:p>
            <w:pPr>
              <w:pStyle w:val="14"/>
              <w:rPr>
                <w:highlight w:val="none"/>
              </w:rPr>
            </w:pPr>
          </w:p>
        </w:tc>
        <w:tc>
          <w:tcPr>
            <w:tcW w:w="1205" w:type="dxa"/>
            <w:gridSpan w:val="2"/>
            <w:noWrap w:val="0"/>
            <w:vAlign w:val="center"/>
          </w:tcPr>
          <w:p>
            <w:pPr>
              <w:pStyle w:val="14"/>
              <w:rPr>
                <w:rFonts w:hint="default" w:eastAsia="方正书宋_GBK"/>
                <w:highlight w:val="none"/>
                <w:lang w:val="en-US" w:eastAsia="zh-CN"/>
              </w:rPr>
            </w:pPr>
            <w:r>
              <w:rPr>
                <w:rFonts w:hint="eastAsia"/>
                <w:highlight w:val="none"/>
                <w:lang w:val="en-US" w:eastAsia="zh-CN"/>
              </w:rPr>
              <w:t>1.3</w:t>
            </w:r>
          </w:p>
        </w:tc>
        <w:tc>
          <w:tcPr>
            <w:tcW w:w="1296" w:type="dxa"/>
            <w:gridSpan w:val="2"/>
            <w:noWrap w:val="0"/>
            <w:vAlign w:val="center"/>
          </w:tcPr>
          <w:p>
            <w:pPr>
              <w:pStyle w:val="14"/>
              <w:rPr>
                <w:highlight w:val="none"/>
              </w:rPr>
            </w:pPr>
          </w:p>
        </w:tc>
        <w:tc>
          <w:tcPr>
            <w:tcW w:w="1357" w:type="dxa"/>
            <w:noWrap w:val="0"/>
            <w:vAlign w:val="center"/>
          </w:tcPr>
          <w:p>
            <w:pPr>
              <w:pStyle w:val="14"/>
              <w:rPr>
                <w:rFonts w:hint="default" w:eastAsia="方正书宋_GBK"/>
                <w:highlight w:val="none"/>
                <w:lang w:val="en-US" w:eastAsia="zh-CN"/>
              </w:rPr>
            </w:pPr>
            <w:r>
              <w:rPr>
                <w:rFonts w:hint="eastAsia"/>
                <w:highlight w:val="none"/>
                <w:lang w:val="en-US" w:eastAsia="zh-CN"/>
              </w:rPr>
              <w:t>1.3</w:t>
            </w:r>
          </w:p>
        </w:tc>
        <w:tc>
          <w:tcPr>
            <w:tcW w:w="1292" w:type="dxa"/>
            <w:noWrap w:val="0"/>
            <w:vAlign w:val="center"/>
          </w:tcPr>
          <w:p>
            <w:pPr>
              <w:pStyle w:val="14"/>
              <w:rPr>
                <w:rFonts w:hint="default" w:eastAsia="方正书宋_GBK"/>
                <w:highlight w:val="none"/>
                <w:lang w:val="en-US" w:eastAsia="zh-CN"/>
              </w:rPr>
            </w:pPr>
            <w:r>
              <w:rPr>
                <w:rFonts w:hint="eastAsia"/>
                <w:highlight w:val="none"/>
                <w:lang w:val="en-US" w:eastAsia="zh-CN"/>
              </w:rPr>
              <w:t>0.02</w:t>
            </w:r>
          </w:p>
        </w:tc>
      </w:tr>
    </w:tbl>
    <w:p>
      <w:pPr>
        <w:spacing w:before="0" w:after="0" w:line="240" w:lineRule="auto"/>
        <w:ind w:firstLine="0"/>
        <w:jc w:val="both"/>
        <w:outlineLvl w:val="0"/>
        <w:sectPr>
          <w:footerReference r:id="rId5" w:type="default"/>
          <w:footerReference r:id="rId6" w:type="even"/>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中共沧县县委机构编制委员会办公室2022年部门预算信息公开情况说明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中共沧县县委机构编制委员会办公室2022年部门预算信息公开情况说明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按照《预算法》、《地方预决算公开操作规程》和《关于进一步推进预算公开工作的实施意见》规定，现将中共沧县县委机构编制委员会办公室2022年部门预算公开如下：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0"/>
      </w:pPr>
      <w:r>
        <w:t xml:space="preserve">（一）贯彻落实党中央、省委和县委关于行政管理体制和机构改革以及机构编制管理的政策法规，拟订相关规定和办法并组织实施。管理和指导全县各级党委、人大、政府、政协、监察委机关，各民主党派、人民团体机关以及全县事业单位的机构编制工作。 </w:t>
      </w:r>
    </w:p>
    <w:p>
      <w:pPr>
        <w:pStyle w:val="20"/>
      </w:pPr>
      <w:r>
        <w:t>（二）组织拟订全县行政管理体制改革和县委、县政府机构改革方案并组织实施。审核各部门、各乡（镇）的行政管理体制和机构改革方案；指导全县行政管理体制和机构改革以及机构编制管理工作；负责行政执法体制改革工作。</w:t>
      </w:r>
    </w:p>
    <w:p>
      <w:pPr>
        <w:pStyle w:val="20"/>
      </w:pPr>
      <w:r>
        <w:t>（三）协调县委、县政府各部门的职能配置及其调整。协调县委、县政府部门之间以及县直部门与各乡（镇）之间的职责分工。</w:t>
      </w:r>
    </w:p>
    <w:p>
      <w:pPr>
        <w:pStyle w:val="20"/>
      </w:pPr>
      <w:r>
        <w:t>（四）审核或审批县委、县政府各部门及部门派出机构的职能配置、机构设置、人员编制和领导职数；审核县人大、县政协、县监察委和县级各民主党派、人民团体机关的职能配置、机构设置、人员编制和领导职数。</w:t>
      </w:r>
    </w:p>
    <w:p>
      <w:pPr>
        <w:pStyle w:val="20"/>
      </w:pPr>
      <w:r>
        <w:t>（五）审核或审批全县股级以上机构设置和调整事宜；审核各部门、各乡（镇）机构编制分类；负责需要承办的垂直管理部门或双重管理部门（单位）机构编制有关事宜。</w:t>
      </w:r>
    </w:p>
    <w:p>
      <w:pPr>
        <w:pStyle w:val="20"/>
      </w:pPr>
      <w:r>
        <w:t>（六）组织拟订全县事业单位管理体制和机构改革方案。执行各类事业单位人员编制标准和管理办法，负责推进事业单位机构编制标准体系建设；审核或审批县委、县政府直属事业单位和县直部门所属事业单位的机构编制事宜；指导协调各乡（镇）事业单位管理体制改革和机构编制管理工作；审核或审批乡（镇）事业单位的机构编制事宜；负责全县党政群机关统一社会信用代码赋码管理工作，负责全县事业单位法人登记管理和监督检查工作。</w:t>
      </w:r>
    </w:p>
    <w:p>
      <w:pPr>
        <w:pStyle w:val="20"/>
      </w:pPr>
      <w:r>
        <w:t>（七）负责全县开发区（园区）行政管理体制改革工作。贯彻执行上级关于开发区（园区）机构编制管理办法，审核开发区（园区）职能配置、机构设置、人员编制和领导职数。</w:t>
      </w:r>
    </w:p>
    <w:p>
      <w:pPr>
        <w:pStyle w:val="20"/>
      </w:pPr>
      <w:r>
        <w:t>（八）负责全县机构编制的总量控制和动态管理。会同有关部门负责机构编制实名制管理工作；负责全县机关事业单位编制使用核准；负责全县机关事业单位科级领导职数管理台帐；负责全县机关事业单位股级干部职数核定、使用和管理工作；建立健全机构编制部门与有关部门间的协调配合约束机制。</w:t>
      </w:r>
    </w:p>
    <w:p>
      <w:pPr>
        <w:pStyle w:val="20"/>
      </w:pPr>
      <w:r>
        <w:t>（九）负责对各级行政、事业单位管理体制和机构改革及机构编制执行情况的跟踪评估和监督检查。负责受理违反机构编制法规、纪律的检举、控告和投诉，对违反机构编制法规、纪律问题进行调查处理。</w:t>
      </w:r>
    </w:p>
    <w:p>
      <w:pPr>
        <w:pStyle w:val="20"/>
      </w:pPr>
      <w:r>
        <w:t>（十）负责全县机构编制电子政务和信息化工作。负责全县机构编制统计工作；负责机构编制网站的建设管理以及网络安全工作；指导全县党政群机关、事业单位和其他非营利性单位网上名称管理工作。指导各部门机构编制电子政务建设和信息化建设工作。</w:t>
      </w:r>
    </w:p>
    <w:p>
      <w:pPr>
        <w:pStyle w:val="20"/>
      </w:pPr>
      <w:r>
        <w:t>（十一）组织开展行政体制改革及机构编制管理创新基础性和前瞻性研究。</w:t>
      </w:r>
    </w:p>
    <w:p>
      <w:pPr>
        <w:pStyle w:val="20"/>
      </w:pPr>
      <w:r>
        <w:t>（十二）完成县委、县政府和县委机构编制委员会交办的其他任务。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中共沧县县委机构编制委员会办公室本级</w:t>
            </w:r>
          </w:p>
        </w:tc>
        <w:tc>
          <w:tcPr>
            <w:tcW w:w="1843" w:type="dxa"/>
            <w:vAlign w:val="center"/>
          </w:tcPr>
          <w:p>
            <w:pPr>
              <w:pStyle w:val="16"/>
            </w:pPr>
            <w:r>
              <w:t>行政</w:t>
            </w:r>
          </w:p>
        </w:tc>
        <w:tc>
          <w:tcPr>
            <w:tcW w:w="2126" w:type="dxa"/>
            <w:vAlign w:val="center"/>
          </w:tcPr>
          <w:p>
            <w:pPr>
              <w:pStyle w:val="16"/>
            </w:pPr>
            <w:r>
              <w:t>正科级</w:t>
            </w:r>
          </w:p>
        </w:tc>
        <w:tc>
          <w:tcPr>
            <w:tcW w:w="3827" w:type="dxa"/>
            <w:vAlign w:val="center"/>
          </w:tcPr>
          <w:p>
            <w:pPr>
              <w:pStyle w:val="16"/>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沧县机构编制委员会信息中心</w:t>
            </w:r>
          </w:p>
        </w:tc>
        <w:tc>
          <w:tcPr>
            <w:tcW w:w="1843" w:type="dxa"/>
            <w:vAlign w:val="center"/>
          </w:tcPr>
          <w:p>
            <w:pPr>
              <w:pStyle w:val="16"/>
            </w:pPr>
            <w:r>
              <w:t>事业</w:t>
            </w:r>
          </w:p>
        </w:tc>
        <w:tc>
          <w:tcPr>
            <w:tcW w:w="2126" w:type="dxa"/>
            <w:vAlign w:val="center"/>
          </w:tcPr>
          <w:p>
            <w:pPr>
              <w:pStyle w:val="16"/>
            </w:pPr>
          </w:p>
        </w:tc>
        <w:tc>
          <w:tcPr>
            <w:tcW w:w="3827" w:type="dxa"/>
            <w:vAlign w:val="center"/>
          </w:tcPr>
          <w:p>
            <w:pPr>
              <w:pStyle w:val="16"/>
            </w:pPr>
            <w:r>
              <w:t>其他</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按照预算管理有关规定，目前我省部门预算的编制实行综合预算管理，即全部收入和支出都反映在预算中。中共沧县县委机构编制委员会办公室机关及所属事业单位的收支包含在部门预算中。</w:t>
      </w:r>
    </w:p>
    <w:p>
      <w:pPr>
        <w:pStyle w:val="21"/>
      </w:pPr>
      <w:r>
        <w:t>1、收入说明。</w:t>
      </w:r>
    </w:p>
    <w:p>
      <w:pPr>
        <w:pStyle w:val="21"/>
      </w:pPr>
      <w:r>
        <w:t>反映本部门当年全部收入。2022年预算收入183.09万元，其中：一般公共预算收入 183.09万元，基金拨款预算0万元，财政专户核拨预算0万元，其他来源收入预算0万元。</w:t>
      </w:r>
    </w:p>
    <w:p>
      <w:pPr>
        <w:pStyle w:val="21"/>
      </w:pPr>
      <w:r>
        <w:t>2、支出说明。</w:t>
      </w:r>
    </w:p>
    <w:p>
      <w:pPr>
        <w:pStyle w:val="21"/>
      </w:pPr>
      <w:r>
        <w:t>收支预算总表支出栏、基本支出表、项目支出表按经济分类和支出功能分类科目编制，反映</w:t>
      </w:r>
      <w:r>
        <w:rPr>
          <w:rFonts w:ascii="Times New Roman" w:hAnsi="Times New Roman" w:eastAsia="方正仿宋_GBK" w:cs="Times New Roman"/>
          <w:color w:val="000000"/>
          <w:sz w:val="28"/>
        </w:rPr>
        <w:t>中共沧县县委机构编制委员会</w:t>
      </w:r>
      <w:r>
        <w:t>年度部门预算中支出预算的总体情况。2022年支出预算183.09万元，其中：基本支出:174.43万元，包括人员经费和日常公用经费；项目支出8.66万元，主要为“政务”和“公益”域名运行费项目4.86万元、综合事务办公费项目1.70万元等等。</w:t>
      </w:r>
    </w:p>
    <w:p>
      <w:pPr>
        <w:pStyle w:val="21"/>
      </w:pPr>
      <w:r>
        <w:t>3、比上年增减情况。    2022年预算收支安排183.09万元，较2021年预算(212.52万元)减少29.43万元，其中：基本支出174.43万元，同比减少33.55万元，其中人员经费支出减少33.88万元，主要原因为因人员调入增加了岗位工资、薪级工资、基础性绩效、住房公积金、机关事业单位基本养老保险缴费、城镇职工基本医疗保险缴费、公务员医疗补助缴费、其他社会保障缴费、但减少了精神文明奖和奖励性目标绩效奖，以上合计减少33.88万元；日常公用经费支出增加0.31万元，主要原因为2021年11月份调入一名同事，增加了办公费、印刷费、邮电费、差旅费、福利费等0.31万元；项目支出比2021年增加4.12万元，主要原因为因工作需要，提高了“政务”和“公益”域名运行费和增加了其他项目。</w:t>
      </w:r>
    </w:p>
    <w:p>
      <w:pPr>
        <w:pStyle w:val="21"/>
      </w:pPr>
      <w:r>
        <w:t>详见附表</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2"/>
      </w:pPr>
      <w:r>
        <w:t>2022年度中共沧县县委机构编制委员会办公室（部门名称）机关运行经费预算为11.57万元。主要是一般公共预算财政拨款基本支出的日常公用经费，包括办公费0.48万元、印刷费0.08万元、水费0.24万元、电费0.44万元、邮电费0.31万元、差旅费0.48万元、公务接待费0.02万元、工会经费1.20万元、福利费1.46万元、公务用车运行维护费1.30万元、其他交通费用5.46万元、其他商品和服务支出0.10万元。</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3"/>
      </w:pPr>
      <w:r>
        <w:t>中共沧县县委机构编制委员会办公室（部门名称）财政拨款2022年度“三公经费”预算为1.32万元，较2021年度预算1.32万元，与上年持平，无增减变化。其中：</w:t>
      </w:r>
    </w:p>
    <w:p>
      <w:pPr>
        <w:pStyle w:val="23"/>
      </w:pPr>
      <w:r>
        <w:t>（一）公务用车运行维护费1.30万元，无公务车辆购置费，较2021年度预算1.30万元，与上年持平，无增减变化。</w:t>
      </w:r>
    </w:p>
    <w:p>
      <w:pPr>
        <w:pStyle w:val="23"/>
      </w:pPr>
      <w:r>
        <w:t>（二）公务接待费0.02万元，较2021年度预算0.02万元，与上年持平，无增减变化。</w:t>
      </w:r>
    </w:p>
    <w:p>
      <w:pPr>
        <w:pStyle w:val="23"/>
      </w:pPr>
      <w:r>
        <w:t>（三）因公出国（境）费0万元，与上年持平，无增减变化。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2022年总体绩效目标</w:t>
      </w:r>
    </w:p>
    <w:p>
      <w:pPr>
        <w:pStyle w:val="24"/>
      </w:pPr>
    </w:p>
    <w:p>
      <w:pPr>
        <w:pStyle w:val="24"/>
      </w:pPr>
    </w:p>
    <w:p>
      <w:pPr>
        <w:pStyle w:val="24"/>
      </w:pPr>
      <w:r>
        <w:t>2022年，我单位安排预算支出共计183.09万元。其中：人员经费安排162.86万元；正常公用经费安排11.57万元；专项经费8.66万元。根据当年任务目标和实际开支需求确定3个项目。</w:t>
      </w:r>
    </w:p>
    <w:p>
      <w:pPr>
        <w:pStyle w:val="24"/>
      </w:pPr>
    </w:p>
    <w:p>
      <w:pPr>
        <w:pStyle w:val="24"/>
      </w:pPr>
      <w:r>
        <w:t>总体绩效目标如下：</w:t>
      </w:r>
    </w:p>
    <w:p>
      <w:pPr>
        <w:pStyle w:val="24"/>
      </w:pPr>
      <w:r>
        <w:t>1、人员经费支出：人员经费162.86万元。</w:t>
      </w:r>
    </w:p>
    <w:p>
      <w:pPr>
        <w:pStyle w:val="24"/>
      </w:pPr>
      <w:r>
        <w:t>2、日常公用经费支出：公用经费支出11.57万元。</w:t>
      </w:r>
    </w:p>
    <w:p>
      <w:pPr>
        <w:pStyle w:val="24"/>
      </w:pPr>
      <w:r>
        <w:t>3、项目经费支出：8.66万元，具体如下：</w:t>
      </w:r>
    </w:p>
    <w:p>
      <w:pPr>
        <w:pStyle w:val="24"/>
      </w:pPr>
    </w:p>
    <w:p>
      <w:pPr>
        <w:pStyle w:val="24"/>
      </w:pPr>
      <w:r>
        <w:t>（一）项目名称：“政务”和“公益”域名运行费</w:t>
      </w:r>
    </w:p>
    <w:p>
      <w:pPr>
        <w:pStyle w:val="24"/>
      </w:pPr>
      <w:r>
        <w:t>保障全县243个“政务”和“公益”中文域名正常运行、网络红页和网站标识的有效使用，方便访问政府网站。</w:t>
      </w:r>
    </w:p>
    <w:p>
      <w:pPr>
        <w:pStyle w:val="24"/>
      </w:pPr>
    </w:p>
    <w:p>
      <w:pPr>
        <w:pStyle w:val="24"/>
      </w:pPr>
      <w:r>
        <w:t>（二）项目名称：综合事务办公经费</w:t>
      </w:r>
    </w:p>
    <w:p>
      <w:pPr>
        <w:pStyle w:val="24"/>
      </w:pPr>
      <w:r>
        <w:t>保障机关正常运行，积极配合各部门的工作要求，做好期刊征订工作，积极努力学习“一网通办”人事管理系统，不断提高办事人员自身素质。</w:t>
      </w:r>
    </w:p>
    <w:p>
      <w:pPr>
        <w:pStyle w:val="24"/>
      </w:pPr>
      <w:r>
        <w:t>绩</w:t>
      </w:r>
    </w:p>
    <w:p>
      <w:pPr>
        <w:pStyle w:val="24"/>
      </w:pPr>
    </w:p>
    <w:p>
      <w:pPr>
        <w:pStyle w:val="24"/>
      </w:pPr>
      <w:r>
        <w:t>(三）项目名称：涉密计算机采购</w:t>
      </w:r>
    </w:p>
    <w:p>
      <w:pPr>
        <w:pStyle w:val="24"/>
      </w:pPr>
      <w:r>
        <w:t>保障“一网通办”信息系统有所承载，保障机关工作正常运行。</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pPr>
      <w:r>
        <w:t>2022年分项绩效目标</w:t>
      </w:r>
    </w:p>
    <w:p>
      <w:pPr>
        <w:pStyle w:val="25"/>
      </w:pPr>
    </w:p>
    <w:p>
      <w:pPr>
        <w:pStyle w:val="25"/>
      </w:pPr>
      <w:r>
        <w:t>（一）项目名称：“政务”和“公益”域名运行费</w:t>
      </w:r>
    </w:p>
    <w:p>
      <w:pPr>
        <w:pStyle w:val="25"/>
      </w:pPr>
      <w:r>
        <w:t>绩效目标：保障全县243个“政务”和“公益”中文域名正常运行、网络红页和网站标识的有效使用，方便访问政府网站。</w:t>
      </w:r>
    </w:p>
    <w:p>
      <w:pPr>
        <w:pStyle w:val="25"/>
      </w:pPr>
      <w:r>
        <w:t xml:space="preserve">绩效指标：完成243个中文域名续费，保障98%域名正常运行。                                       </w:t>
      </w:r>
    </w:p>
    <w:p>
      <w:pPr>
        <w:pStyle w:val="25"/>
      </w:pPr>
      <w:r>
        <w:t>（二）项目名称：综合事务办公经费</w:t>
      </w:r>
    </w:p>
    <w:p>
      <w:pPr>
        <w:pStyle w:val="25"/>
      </w:pPr>
      <w:r>
        <w:t>绩效目标：保障机关正常运行，积极配合各部门的工作要求，做好期刊征订工作，积极努力学习“一网通办”人事管理系统，不断提高办事人员自身素质。</w:t>
      </w:r>
    </w:p>
    <w:p>
      <w:pPr>
        <w:pStyle w:val="25"/>
      </w:pPr>
      <w:r>
        <w:t xml:space="preserve">绩效指标：保障四个业务科室、一台承载“一网通办”人事管理系统的涉密计算机正常运转。 </w:t>
      </w:r>
    </w:p>
    <w:p>
      <w:pPr>
        <w:pStyle w:val="25"/>
      </w:pPr>
      <w:r>
        <w:t>(三）项目名称：涉密计算机采购</w:t>
      </w:r>
    </w:p>
    <w:p>
      <w:pPr>
        <w:pStyle w:val="25"/>
      </w:pPr>
      <w:r>
        <w:t>绩效目标：保障“一网通办”信息系统有所承载，保障机关工作正常运行。</w:t>
      </w:r>
    </w:p>
    <w:p>
      <w:pPr>
        <w:pStyle w:val="25"/>
      </w:pPr>
      <w:r>
        <w:t>绩效指标：办公设备正常采购，“一网通办”人事平台有所承载。</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对保障部门（含所属单位）运行用于购买货物和服务的各项资金，包括办公及印刷费、邮电费、差旅费、会议费、福利费、日常维修费、专用材料及一般设备购置费、办公用房水电费、办公用房取暖费、办公用房物业管理费、公务用车运行维护费以及其他费用，按照预算定额方案，做足做细预算安排。</w:t>
      </w:r>
    </w:p>
    <w:p>
      <w:pPr>
        <w:spacing w:before="0" w:after="0" w:line="240" w:lineRule="auto"/>
        <w:ind w:firstLine="640"/>
        <w:jc w:val="left"/>
        <w:outlineLvl w:val="9"/>
        <w:sectPr>
          <w:pgSz w:w="16840" w:h="11900" w:orient="landscape"/>
          <w:pgMar w:top="1361" w:right="1020" w:bottom="1361" w:left="1020" w:header="720" w:footer="720" w:gutter="0"/>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1、“政务”和“公益”域名运行费绩效目标表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1.中文域名缴纳运行费，全县243个“政务”和“公益”中文域名运行费续费。</w:t>
            </w:r>
          </w:p>
          <w:p>
            <w:pPr>
              <w:pStyle w:val="15"/>
            </w:pPr>
            <w:r>
              <w:t>2.保障全县243个“政务”和“公益”中文域名正常运行</w:t>
            </w:r>
            <w:r>
              <w:tab/>
            </w:r>
            <w:r>
              <w:tab/>
            </w:r>
            <w:r>
              <w:tab/>
            </w:r>
            <w:r>
              <w:tab/>
            </w:r>
            <w:r>
              <w:tab/>
            </w:r>
            <w:r>
              <w:tab/>
            </w:r>
          </w:p>
          <w:p>
            <w:pPr>
              <w:pStyle w:val="15"/>
            </w:pPr>
          </w:p>
          <w:p>
            <w:pPr>
              <w:pStyle w:val="15"/>
            </w:pPr>
            <w:r>
              <w:t>3.保证我县各机关事业单位中文域名、网络红页和网站标识的有效使用，方便访问政府网站</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中文域名续费数量</w:t>
            </w:r>
          </w:p>
        </w:tc>
        <w:tc>
          <w:tcPr>
            <w:tcW w:w="2835" w:type="dxa"/>
            <w:vAlign w:val="center"/>
          </w:tcPr>
          <w:p>
            <w:pPr>
              <w:pStyle w:val="15"/>
            </w:pPr>
            <w:r>
              <w:t>全县机关事业单位中文域名续费完成个数</w:t>
            </w:r>
          </w:p>
        </w:tc>
        <w:tc>
          <w:tcPr>
            <w:tcW w:w="2551" w:type="dxa"/>
            <w:vAlign w:val="center"/>
          </w:tcPr>
          <w:p>
            <w:pPr>
              <w:pStyle w:val="15"/>
            </w:pPr>
            <w:r>
              <w:t>≥243个</w:t>
            </w:r>
          </w:p>
        </w:tc>
        <w:tc>
          <w:tcPr>
            <w:tcW w:w="2268" w:type="dxa"/>
            <w:vAlign w:val="center"/>
          </w:tcPr>
          <w:p>
            <w:pPr>
              <w:pStyle w:val="15"/>
            </w:pPr>
            <w:r>
              <w:t>根据省委编办要求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运行正常率</w:t>
            </w:r>
          </w:p>
        </w:tc>
        <w:tc>
          <w:tcPr>
            <w:tcW w:w="2835" w:type="dxa"/>
            <w:vAlign w:val="center"/>
          </w:tcPr>
          <w:p>
            <w:pPr>
              <w:pStyle w:val="15"/>
            </w:pPr>
            <w:r>
              <w:t>中文域名运行正常率</w:t>
            </w:r>
          </w:p>
        </w:tc>
        <w:tc>
          <w:tcPr>
            <w:tcW w:w="2551" w:type="dxa"/>
            <w:vAlign w:val="center"/>
          </w:tcPr>
          <w:p>
            <w:pPr>
              <w:pStyle w:val="15"/>
            </w:pPr>
            <w:r>
              <w:t>≥98百分比</w:t>
            </w:r>
          </w:p>
        </w:tc>
        <w:tc>
          <w:tcPr>
            <w:tcW w:w="2268" w:type="dxa"/>
            <w:vAlign w:val="center"/>
          </w:tcPr>
          <w:p>
            <w:pPr>
              <w:pStyle w:val="15"/>
            </w:pPr>
            <w:r>
              <w:t>根据省委编办要求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更名、注销、注册时间</w:t>
            </w:r>
          </w:p>
        </w:tc>
        <w:tc>
          <w:tcPr>
            <w:tcW w:w="2835" w:type="dxa"/>
            <w:vAlign w:val="center"/>
          </w:tcPr>
          <w:p>
            <w:pPr>
              <w:pStyle w:val="15"/>
            </w:pPr>
            <w:r>
              <w:t>中文域名更名、注销、注册的时间</w:t>
            </w:r>
          </w:p>
        </w:tc>
        <w:tc>
          <w:tcPr>
            <w:tcW w:w="2551" w:type="dxa"/>
            <w:vAlign w:val="center"/>
          </w:tcPr>
          <w:p>
            <w:pPr>
              <w:pStyle w:val="15"/>
            </w:pPr>
            <w:r>
              <w:t>5工作日</w:t>
            </w:r>
          </w:p>
        </w:tc>
        <w:tc>
          <w:tcPr>
            <w:tcW w:w="2268" w:type="dxa"/>
            <w:vAlign w:val="center"/>
          </w:tcPr>
          <w:p>
            <w:pPr>
              <w:pStyle w:val="15"/>
            </w:pPr>
            <w:r>
              <w:t>根据域名管理流程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中文域名运行费</w:t>
            </w:r>
          </w:p>
        </w:tc>
        <w:tc>
          <w:tcPr>
            <w:tcW w:w="2835" w:type="dxa"/>
            <w:vAlign w:val="center"/>
          </w:tcPr>
          <w:p>
            <w:pPr>
              <w:pStyle w:val="15"/>
            </w:pPr>
            <w:r>
              <w:t>中文域名运行费每年每个费用</w:t>
            </w:r>
          </w:p>
        </w:tc>
        <w:tc>
          <w:tcPr>
            <w:tcW w:w="2551" w:type="dxa"/>
            <w:vAlign w:val="center"/>
          </w:tcPr>
          <w:p>
            <w:pPr>
              <w:pStyle w:val="15"/>
            </w:pPr>
            <w:r>
              <w:t>200元</w:t>
            </w:r>
          </w:p>
        </w:tc>
        <w:tc>
          <w:tcPr>
            <w:tcW w:w="2268" w:type="dxa"/>
            <w:vAlign w:val="center"/>
          </w:tcPr>
          <w:p>
            <w:pPr>
              <w:pStyle w:val="15"/>
            </w:pPr>
            <w:r>
              <w:t>政务和公益机构域名注册管理中心规定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提高居民方便访问政府网站</w:t>
            </w:r>
          </w:p>
        </w:tc>
        <w:tc>
          <w:tcPr>
            <w:tcW w:w="2835" w:type="dxa"/>
            <w:vAlign w:val="center"/>
          </w:tcPr>
          <w:p>
            <w:pPr>
              <w:pStyle w:val="15"/>
            </w:pPr>
            <w:r>
              <w:t>方便居民访问政府网站、获取政务信息和监督政府部门</w:t>
            </w:r>
          </w:p>
        </w:tc>
        <w:tc>
          <w:tcPr>
            <w:tcW w:w="2551" w:type="dxa"/>
            <w:vAlign w:val="center"/>
          </w:tcPr>
          <w:p>
            <w:pPr>
              <w:pStyle w:val="15"/>
            </w:pPr>
            <w:r>
              <w:t>有效提高</w:t>
            </w:r>
          </w:p>
        </w:tc>
        <w:tc>
          <w:tcPr>
            <w:tcW w:w="2268" w:type="dxa"/>
            <w:vAlign w:val="center"/>
          </w:tcPr>
          <w:p>
            <w:pPr>
              <w:pStyle w:val="15"/>
            </w:pPr>
            <w:r>
              <w:t>域名所有部门的反馈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各单位满意度</w:t>
            </w:r>
          </w:p>
        </w:tc>
        <w:tc>
          <w:tcPr>
            <w:tcW w:w="2835" w:type="dxa"/>
            <w:vAlign w:val="center"/>
          </w:tcPr>
          <w:p>
            <w:pPr>
              <w:pStyle w:val="15"/>
            </w:pPr>
            <w:r>
              <w:t>各单位对中文域名运行满意情况</w:t>
            </w:r>
          </w:p>
        </w:tc>
        <w:tc>
          <w:tcPr>
            <w:tcW w:w="2551" w:type="dxa"/>
            <w:vAlign w:val="center"/>
          </w:tcPr>
          <w:p>
            <w:pPr>
              <w:pStyle w:val="15"/>
            </w:pPr>
            <w:r>
              <w:t>≥98百分比</w:t>
            </w:r>
          </w:p>
        </w:tc>
        <w:tc>
          <w:tcPr>
            <w:tcW w:w="2268" w:type="dxa"/>
            <w:vAlign w:val="center"/>
          </w:tcPr>
          <w:p>
            <w:pPr>
              <w:pStyle w:val="15"/>
            </w:pPr>
            <w:r>
              <w:t>随机调查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2、涉密计算机采购绩效目标表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1.保障行政管理体制和机构编制管理政策的落实，信息中心工作正常运转。</w:t>
            </w:r>
          </w:p>
          <w:p>
            <w:pPr>
              <w:pStyle w:val="15"/>
            </w:pPr>
            <w:r>
              <w:t>2.根据县委人事任命的完成数据平台实施更新</w:t>
            </w:r>
          </w:p>
          <w:p>
            <w:pPr>
              <w:pStyle w:val="15"/>
            </w:pPr>
            <w:r>
              <w:t>3.为编委领导人事调动决策提供政策和数据保障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办公设备数量</w:t>
            </w:r>
          </w:p>
        </w:tc>
        <w:tc>
          <w:tcPr>
            <w:tcW w:w="2835" w:type="dxa"/>
            <w:vAlign w:val="center"/>
          </w:tcPr>
          <w:p>
            <w:pPr>
              <w:pStyle w:val="15"/>
            </w:pPr>
            <w:r>
              <w:t>购置办公设备数量</w:t>
            </w:r>
          </w:p>
        </w:tc>
        <w:tc>
          <w:tcPr>
            <w:tcW w:w="2551" w:type="dxa"/>
            <w:vAlign w:val="center"/>
          </w:tcPr>
          <w:p>
            <w:pPr>
              <w:pStyle w:val="15"/>
            </w:pPr>
            <w:r>
              <w:t>≥2台</w:t>
            </w:r>
          </w:p>
        </w:tc>
        <w:tc>
          <w:tcPr>
            <w:tcW w:w="2268" w:type="dxa"/>
            <w:vAlign w:val="center"/>
          </w:tcPr>
          <w:p>
            <w:pPr>
              <w:pStyle w:val="15"/>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办公设备正常运行率</w:t>
            </w:r>
          </w:p>
        </w:tc>
        <w:tc>
          <w:tcPr>
            <w:tcW w:w="2835" w:type="dxa"/>
            <w:vAlign w:val="center"/>
          </w:tcPr>
          <w:p>
            <w:pPr>
              <w:pStyle w:val="15"/>
            </w:pPr>
            <w:r>
              <w:t>正常使用办公设备占办公设备比例</w:t>
            </w:r>
          </w:p>
        </w:tc>
        <w:tc>
          <w:tcPr>
            <w:tcW w:w="2551" w:type="dxa"/>
            <w:vAlign w:val="center"/>
          </w:tcPr>
          <w:p>
            <w:pPr>
              <w:pStyle w:val="15"/>
            </w:pPr>
            <w:r>
              <w:t>≥95百分比</w:t>
            </w:r>
          </w:p>
        </w:tc>
        <w:tc>
          <w:tcPr>
            <w:tcW w:w="2268" w:type="dxa"/>
            <w:vAlign w:val="center"/>
          </w:tcPr>
          <w:p>
            <w:pPr>
              <w:pStyle w:val="15"/>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购置设备保质期</w:t>
            </w:r>
          </w:p>
        </w:tc>
        <w:tc>
          <w:tcPr>
            <w:tcW w:w="2835" w:type="dxa"/>
            <w:vAlign w:val="center"/>
          </w:tcPr>
          <w:p>
            <w:pPr>
              <w:pStyle w:val="15"/>
            </w:pPr>
            <w:r>
              <w:t>新购办公设备保证正常运转的日期</w:t>
            </w:r>
          </w:p>
        </w:tc>
        <w:tc>
          <w:tcPr>
            <w:tcW w:w="2551" w:type="dxa"/>
            <w:vAlign w:val="center"/>
          </w:tcPr>
          <w:p>
            <w:pPr>
              <w:pStyle w:val="15"/>
            </w:pPr>
            <w:r>
              <w:t>≤1年</w:t>
            </w:r>
          </w:p>
        </w:tc>
        <w:tc>
          <w:tcPr>
            <w:tcW w:w="2268" w:type="dxa"/>
            <w:vAlign w:val="center"/>
          </w:tcPr>
          <w:p>
            <w:pPr>
              <w:pStyle w:val="15"/>
            </w:pPr>
            <w:r>
              <w:t>采购协议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设备费用</w:t>
            </w:r>
          </w:p>
        </w:tc>
        <w:tc>
          <w:tcPr>
            <w:tcW w:w="2835" w:type="dxa"/>
            <w:vAlign w:val="center"/>
          </w:tcPr>
          <w:p>
            <w:pPr>
              <w:pStyle w:val="15"/>
            </w:pPr>
            <w:r>
              <w:t>购置每台设备的费用</w:t>
            </w:r>
          </w:p>
        </w:tc>
        <w:tc>
          <w:tcPr>
            <w:tcW w:w="2551" w:type="dxa"/>
            <w:vAlign w:val="center"/>
          </w:tcPr>
          <w:p>
            <w:pPr>
              <w:pStyle w:val="15"/>
            </w:pPr>
            <w:r>
              <w:t>≤1.05万元</w:t>
            </w:r>
          </w:p>
        </w:tc>
        <w:tc>
          <w:tcPr>
            <w:tcW w:w="2268" w:type="dxa"/>
            <w:vAlign w:val="center"/>
          </w:tcPr>
          <w:p>
            <w:pPr>
              <w:pStyle w:val="15"/>
            </w:pPr>
            <w: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服务于干部职工，提高满意度</w:t>
            </w:r>
          </w:p>
        </w:tc>
        <w:tc>
          <w:tcPr>
            <w:tcW w:w="2835" w:type="dxa"/>
            <w:vAlign w:val="center"/>
          </w:tcPr>
          <w:p>
            <w:pPr>
              <w:pStyle w:val="15"/>
            </w:pPr>
            <w:r>
              <w:t>测评满意人数占参与人数的比例</w:t>
            </w:r>
          </w:p>
        </w:tc>
        <w:tc>
          <w:tcPr>
            <w:tcW w:w="2551" w:type="dxa"/>
            <w:vAlign w:val="center"/>
          </w:tcPr>
          <w:p>
            <w:pPr>
              <w:pStyle w:val="15"/>
            </w:pPr>
            <w:r>
              <w:t>≥95百分比</w:t>
            </w:r>
          </w:p>
        </w:tc>
        <w:tc>
          <w:tcPr>
            <w:tcW w:w="2268" w:type="dxa"/>
            <w:vAlign w:val="center"/>
          </w:tcPr>
          <w:p>
            <w:pPr>
              <w:pStyle w:val="15"/>
            </w:pPr>
            <w:r>
              <w:t>随机调查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工作人员能否正常开展各项工作</w:t>
            </w:r>
          </w:p>
        </w:tc>
        <w:tc>
          <w:tcPr>
            <w:tcW w:w="2835" w:type="dxa"/>
            <w:vAlign w:val="center"/>
          </w:tcPr>
          <w:p>
            <w:pPr>
              <w:pStyle w:val="15"/>
            </w:pPr>
            <w:r>
              <w:t>全体工作人员对工作环境，办公设备运行满意度</w:t>
            </w:r>
          </w:p>
        </w:tc>
        <w:tc>
          <w:tcPr>
            <w:tcW w:w="2551" w:type="dxa"/>
            <w:vAlign w:val="center"/>
          </w:tcPr>
          <w:p>
            <w:pPr>
              <w:pStyle w:val="15"/>
            </w:pPr>
            <w:r>
              <w:t>≥90百分比</w:t>
            </w:r>
          </w:p>
        </w:tc>
        <w:tc>
          <w:tcPr>
            <w:tcW w:w="2268" w:type="dxa"/>
            <w:vAlign w:val="center"/>
          </w:tcPr>
          <w:p>
            <w:pPr>
              <w:pStyle w:val="15"/>
            </w:pPr>
            <w:r>
              <w:t>对工作人员随机调查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3、综合事务办公费绩效目标表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1.保障机关正常运转，四个业务股室工作正常开展</w:t>
            </w:r>
          </w:p>
          <w:p>
            <w:pPr>
              <w:pStyle w:val="15"/>
            </w:pPr>
            <w:r>
              <w:t>2.完成编委领导交办的各项工作，积极配合各部门的工作要求，做好期刊征订工作</w:t>
            </w:r>
            <w:r>
              <w:tab/>
            </w:r>
            <w:r>
              <w:tab/>
            </w:r>
            <w:r>
              <w:tab/>
            </w:r>
          </w:p>
          <w:p>
            <w:pPr>
              <w:pStyle w:val="15"/>
            </w:pPr>
          </w:p>
          <w:p>
            <w:pPr>
              <w:pStyle w:val="15"/>
            </w:pPr>
            <w:r>
              <w:t>3.显著提升工作效率，为编委领导人事调动决策提供政策和数据保障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科室数量</w:t>
            </w:r>
          </w:p>
        </w:tc>
        <w:tc>
          <w:tcPr>
            <w:tcW w:w="2835" w:type="dxa"/>
            <w:vAlign w:val="center"/>
          </w:tcPr>
          <w:p>
            <w:pPr>
              <w:pStyle w:val="15"/>
            </w:pPr>
            <w:r>
              <w:t>全单位工作运转的科室数</w:t>
            </w:r>
          </w:p>
        </w:tc>
        <w:tc>
          <w:tcPr>
            <w:tcW w:w="2551" w:type="dxa"/>
            <w:vAlign w:val="center"/>
          </w:tcPr>
          <w:p>
            <w:pPr>
              <w:pStyle w:val="15"/>
            </w:pPr>
            <w:r>
              <w:t>≥4个</w:t>
            </w:r>
          </w:p>
        </w:tc>
        <w:tc>
          <w:tcPr>
            <w:tcW w:w="2268" w:type="dxa"/>
            <w:vAlign w:val="center"/>
          </w:tcPr>
          <w:p>
            <w:pPr>
              <w:pStyle w:val="15"/>
            </w:pPr>
            <w:r>
              <w:t>实际部门情况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综合事务管理工作完成率</w:t>
            </w:r>
          </w:p>
        </w:tc>
        <w:tc>
          <w:tcPr>
            <w:tcW w:w="2835" w:type="dxa"/>
            <w:vAlign w:val="center"/>
          </w:tcPr>
          <w:p>
            <w:pPr>
              <w:pStyle w:val="15"/>
            </w:pPr>
            <w:r>
              <w:t>实际完成编委领导交办工作数量占总体工作的比率</w:t>
            </w:r>
          </w:p>
        </w:tc>
        <w:tc>
          <w:tcPr>
            <w:tcW w:w="2551" w:type="dxa"/>
            <w:vAlign w:val="center"/>
          </w:tcPr>
          <w:p>
            <w:pPr>
              <w:pStyle w:val="15"/>
            </w:pPr>
            <w:r>
              <w:t>≥95百分比</w:t>
            </w:r>
          </w:p>
        </w:tc>
        <w:tc>
          <w:tcPr>
            <w:tcW w:w="2268" w:type="dxa"/>
            <w:vAlign w:val="center"/>
          </w:tcPr>
          <w:p>
            <w:pPr>
              <w:pStyle w:val="15"/>
            </w:pPr>
            <w:r>
              <w:t>综合事务管理工作完成情况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任务完成及时性</w:t>
            </w:r>
          </w:p>
        </w:tc>
        <w:tc>
          <w:tcPr>
            <w:tcW w:w="2835" w:type="dxa"/>
            <w:vAlign w:val="center"/>
          </w:tcPr>
          <w:p>
            <w:pPr>
              <w:pStyle w:val="15"/>
            </w:pPr>
            <w:r>
              <w:t>如期完成编委领导交办工作的时间</w:t>
            </w:r>
          </w:p>
        </w:tc>
        <w:tc>
          <w:tcPr>
            <w:tcW w:w="2551" w:type="dxa"/>
            <w:vAlign w:val="center"/>
          </w:tcPr>
          <w:p>
            <w:pPr>
              <w:pStyle w:val="15"/>
            </w:pPr>
            <w:r>
              <w:t>≤10天</w:t>
            </w:r>
          </w:p>
        </w:tc>
        <w:tc>
          <w:tcPr>
            <w:tcW w:w="2268" w:type="dxa"/>
            <w:vAlign w:val="center"/>
          </w:tcPr>
          <w:p>
            <w:pPr>
              <w:pStyle w:val="15"/>
            </w:pPr>
            <w:r>
              <w:t>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股室支出成本</w:t>
            </w:r>
          </w:p>
        </w:tc>
        <w:tc>
          <w:tcPr>
            <w:tcW w:w="2835" w:type="dxa"/>
            <w:vAlign w:val="center"/>
          </w:tcPr>
          <w:p>
            <w:pPr>
              <w:pStyle w:val="15"/>
            </w:pPr>
            <w:r>
              <w:t>平均每个股室年消耗费用</w:t>
            </w:r>
          </w:p>
        </w:tc>
        <w:tc>
          <w:tcPr>
            <w:tcW w:w="2551" w:type="dxa"/>
            <w:vAlign w:val="center"/>
          </w:tcPr>
          <w:p>
            <w:pPr>
              <w:pStyle w:val="15"/>
            </w:pPr>
            <w:r>
              <w:t>≤0.5万元</w:t>
            </w:r>
          </w:p>
        </w:tc>
        <w:tc>
          <w:tcPr>
            <w:tcW w:w="2268" w:type="dxa"/>
            <w:vAlign w:val="center"/>
          </w:tcPr>
          <w:p>
            <w:pPr>
              <w:pStyle w:val="15"/>
            </w:pPr>
            <w:r>
              <w:t>成本支出情况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提高机关运行效率</w:t>
            </w:r>
          </w:p>
        </w:tc>
        <w:tc>
          <w:tcPr>
            <w:tcW w:w="2835" w:type="dxa"/>
            <w:vAlign w:val="center"/>
          </w:tcPr>
          <w:p>
            <w:pPr>
              <w:pStyle w:val="15"/>
            </w:pPr>
            <w:r>
              <w:t>机关运行效率显著提升</w:t>
            </w:r>
          </w:p>
        </w:tc>
        <w:tc>
          <w:tcPr>
            <w:tcW w:w="2551" w:type="dxa"/>
            <w:vAlign w:val="center"/>
          </w:tcPr>
          <w:p>
            <w:pPr>
              <w:pStyle w:val="15"/>
            </w:pPr>
            <w:r>
              <w:t>工作完成度高</w:t>
            </w:r>
          </w:p>
        </w:tc>
        <w:tc>
          <w:tcPr>
            <w:tcW w:w="2268" w:type="dxa"/>
            <w:vAlign w:val="center"/>
          </w:tcPr>
          <w:p>
            <w:pPr>
              <w:pStyle w:val="15"/>
            </w:pPr>
            <w:r>
              <w:t>编委领导对编办工作认可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工作人员能否正常开展各项工作</w:t>
            </w:r>
          </w:p>
        </w:tc>
        <w:tc>
          <w:tcPr>
            <w:tcW w:w="2835" w:type="dxa"/>
            <w:vAlign w:val="center"/>
          </w:tcPr>
          <w:p>
            <w:pPr>
              <w:pStyle w:val="15"/>
            </w:pPr>
            <w:r>
              <w:t>全体工作人员对工作环境，办公设备运行满意度</w:t>
            </w:r>
          </w:p>
        </w:tc>
        <w:tc>
          <w:tcPr>
            <w:tcW w:w="2551" w:type="dxa"/>
            <w:vAlign w:val="center"/>
          </w:tcPr>
          <w:p>
            <w:pPr>
              <w:pStyle w:val="15"/>
            </w:pPr>
            <w:r>
              <w:t>≥90百分比</w:t>
            </w:r>
          </w:p>
        </w:tc>
        <w:tc>
          <w:tcPr>
            <w:tcW w:w="2268" w:type="dxa"/>
            <w:vAlign w:val="center"/>
          </w:tcPr>
          <w:p>
            <w:pPr>
              <w:pStyle w:val="15"/>
            </w:pPr>
            <w:r>
              <w:t>对工作人员随机调查</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2022年，中共沧县县委机构编制委员会办公室安排政府采购预算1.64万元。具体内容见下表。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225中共沧县县委机构编制委员会办公室</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1.64</w:t>
            </w:r>
          </w:p>
        </w:tc>
        <w:tc>
          <w:tcPr>
            <w:tcW w:w="964" w:type="dxa"/>
            <w:vAlign w:val="center"/>
          </w:tcPr>
          <w:p>
            <w:pPr>
              <w:pStyle w:val="18"/>
            </w:pPr>
            <w:r>
              <w:t>1.64</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中共沧县县委机构编制委员会办公室本级小计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1.64</w:t>
            </w:r>
          </w:p>
        </w:tc>
        <w:tc>
          <w:tcPr>
            <w:tcW w:w="964" w:type="dxa"/>
            <w:vAlign w:val="center"/>
          </w:tcPr>
          <w:p>
            <w:pPr>
              <w:pStyle w:val="18"/>
            </w:pPr>
            <w:r>
              <w:t>1.64</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涉密计算机采购</w:t>
            </w:r>
          </w:p>
        </w:tc>
        <w:tc>
          <w:tcPr>
            <w:tcW w:w="964" w:type="dxa"/>
            <w:vAlign w:val="center"/>
          </w:tcPr>
          <w:p>
            <w:pPr>
              <w:pStyle w:val="14"/>
            </w:pPr>
            <w:r>
              <w:t>2.10</w:t>
            </w:r>
          </w:p>
        </w:tc>
        <w:tc>
          <w:tcPr>
            <w:tcW w:w="1134" w:type="dxa"/>
            <w:vAlign w:val="center"/>
          </w:tcPr>
          <w:p>
            <w:pPr>
              <w:pStyle w:val="15"/>
            </w:pPr>
            <w:r>
              <w:t>台式计算机</w:t>
            </w:r>
          </w:p>
        </w:tc>
        <w:tc>
          <w:tcPr>
            <w:tcW w:w="1134" w:type="dxa"/>
            <w:vAlign w:val="center"/>
          </w:tcPr>
          <w:p>
            <w:pPr>
              <w:pStyle w:val="15"/>
            </w:pPr>
            <w:r>
              <w:t>A02010104</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0.85</w:t>
            </w:r>
          </w:p>
        </w:tc>
        <w:tc>
          <w:tcPr>
            <w:tcW w:w="964" w:type="dxa"/>
            <w:vAlign w:val="center"/>
          </w:tcPr>
          <w:p>
            <w:pPr>
              <w:pStyle w:val="14"/>
            </w:pPr>
            <w:r>
              <w:t>0.85</w:t>
            </w:r>
          </w:p>
        </w:tc>
        <w:tc>
          <w:tcPr>
            <w:tcW w:w="964" w:type="dxa"/>
            <w:vAlign w:val="center"/>
          </w:tcPr>
          <w:p>
            <w:pPr>
              <w:pStyle w:val="14"/>
            </w:pPr>
            <w:r>
              <w:t>0.85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涉密计算机采购</w:t>
            </w:r>
          </w:p>
        </w:tc>
        <w:tc>
          <w:tcPr>
            <w:tcW w:w="964" w:type="dxa"/>
            <w:vAlign w:val="center"/>
          </w:tcPr>
          <w:p>
            <w:pPr>
              <w:pStyle w:val="14"/>
            </w:pPr>
            <w:r>
              <w:t>2.10</w:t>
            </w:r>
          </w:p>
        </w:tc>
        <w:tc>
          <w:tcPr>
            <w:tcW w:w="1134" w:type="dxa"/>
            <w:vAlign w:val="center"/>
          </w:tcPr>
          <w:p>
            <w:pPr>
              <w:pStyle w:val="15"/>
            </w:pPr>
            <w:r>
              <w:t>其他安全设备</w:t>
            </w:r>
          </w:p>
        </w:tc>
        <w:tc>
          <w:tcPr>
            <w:tcW w:w="1134" w:type="dxa"/>
            <w:vAlign w:val="center"/>
          </w:tcPr>
          <w:p>
            <w:pPr>
              <w:pStyle w:val="15"/>
            </w:pPr>
            <w:r>
              <w:t>A02010399</w:t>
            </w:r>
          </w:p>
        </w:tc>
        <w:tc>
          <w:tcPr>
            <w:tcW w:w="709" w:type="dxa"/>
            <w:vAlign w:val="center"/>
          </w:tcPr>
          <w:p>
            <w:pPr>
              <w:pStyle w:val="16"/>
            </w:pPr>
            <w:r>
              <w:t>个</w:t>
            </w:r>
          </w:p>
        </w:tc>
        <w:tc>
          <w:tcPr>
            <w:tcW w:w="850" w:type="dxa"/>
            <w:vAlign w:val="center"/>
          </w:tcPr>
          <w:p>
            <w:pPr>
              <w:pStyle w:val="14"/>
            </w:pPr>
            <w:r>
              <w:t>1</w:t>
            </w:r>
          </w:p>
        </w:tc>
        <w:tc>
          <w:tcPr>
            <w:tcW w:w="850" w:type="dxa"/>
            <w:vAlign w:val="center"/>
          </w:tcPr>
          <w:p>
            <w:pPr>
              <w:pStyle w:val="14"/>
            </w:pPr>
            <w:r>
              <w:t>0.20</w:t>
            </w:r>
          </w:p>
        </w:tc>
        <w:tc>
          <w:tcPr>
            <w:tcW w:w="964" w:type="dxa"/>
            <w:vAlign w:val="center"/>
          </w:tcPr>
          <w:p>
            <w:pPr>
              <w:pStyle w:val="14"/>
            </w:pPr>
            <w:r>
              <w:t>0.20</w:t>
            </w:r>
          </w:p>
        </w:tc>
        <w:tc>
          <w:tcPr>
            <w:tcW w:w="964" w:type="dxa"/>
            <w:vAlign w:val="center"/>
          </w:tcPr>
          <w:p>
            <w:pPr>
              <w:pStyle w:val="14"/>
            </w:pPr>
            <w:r>
              <w:t>0.20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涉密计算机采购</w:t>
            </w:r>
          </w:p>
        </w:tc>
        <w:tc>
          <w:tcPr>
            <w:tcW w:w="964" w:type="dxa"/>
            <w:vAlign w:val="center"/>
          </w:tcPr>
          <w:p>
            <w:pPr>
              <w:pStyle w:val="14"/>
            </w:pPr>
            <w:r>
              <w:t>2.10</w:t>
            </w:r>
          </w:p>
        </w:tc>
        <w:tc>
          <w:tcPr>
            <w:tcW w:w="1134" w:type="dxa"/>
            <w:vAlign w:val="center"/>
          </w:tcPr>
          <w:p>
            <w:pPr>
              <w:pStyle w:val="15"/>
            </w:pPr>
            <w:r>
              <w:t>多功能一体机</w:t>
            </w:r>
          </w:p>
        </w:tc>
        <w:tc>
          <w:tcPr>
            <w:tcW w:w="1134" w:type="dxa"/>
            <w:vAlign w:val="center"/>
          </w:tcPr>
          <w:p>
            <w:pPr>
              <w:pStyle w:val="15"/>
            </w:pPr>
            <w:r>
              <w:t>A020204</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0.55</w:t>
            </w:r>
          </w:p>
        </w:tc>
        <w:tc>
          <w:tcPr>
            <w:tcW w:w="964" w:type="dxa"/>
            <w:vAlign w:val="center"/>
          </w:tcPr>
          <w:p>
            <w:pPr>
              <w:pStyle w:val="14"/>
            </w:pPr>
            <w:r>
              <w:t>0.55</w:t>
            </w:r>
          </w:p>
        </w:tc>
        <w:tc>
          <w:tcPr>
            <w:tcW w:w="964" w:type="dxa"/>
            <w:vAlign w:val="center"/>
          </w:tcPr>
          <w:p>
            <w:pPr>
              <w:pStyle w:val="14"/>
            </w:pPr>
            <w:r>
              <w:t>0.55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涉密计算机采购</w:t>
            </w:r>
          </w:p>
        </w:tc>
        <w:tc>
          <w:tcPr>
            <w:tcW w:w="964" w:type="dxa"/>
            <w:vAlign w:val="center"/>
          </w:tcPr>
          <w:p>
            <w:pPr>
              <w:pStyle w:val="14"/>
            </w:pPr>
            <w:r>
              <w:t>2.10</w:t>
            </w:r>
          </w:p>
        </w:tc>
        <w:tc>
          <w:tcPr>
            <w:tcW w:w="1134" w:type="dxa"/>
            <w:vAlign w:val="center"/>
          </w:tcPr>
          <w:p>
            <w:pPr>
              <w:pStyle w:val="15"/>
            </w:pPr>
            <w:r>
              <w:t>电源插座和转换器</w:t>
            </w:r>
          </w:p>
        </w:tc>
        <w:tc>
          <w:tcPr>
            <w:tcW w:w="1134" w:type="dxa"/>
            <w:vAlign w:val="center"/>
          </w:tcPr>
          <w:p>
            <w:pPr>
              <w:pStyle w:val="15"/>
            </w:pPr>
            <w:r>
              <w:t>A02061727</w:t>
            </w:r>
          </w:p>
        </w:tc>
        <w:tc>
          <w:tcPr>
            <w:tcW w:w="709" w:type="dxa"/>
            <w:vAlign w:val="center"/>
          </w:tcPr>
          <w:p>
            <w:pPr>
              <w:pStyle w:val="16"/>
            </w:pPr>
            <w:r>
              <w:t>个</w:t>
            </w:r>
          </w:p>
        </w:tc>
        <w:tc>
          <w:tcPr>
            <w:tcW w:w="850" w:type="dxa"/>
            <w:vAlign w:val="center"/>
          </w:tcPr>
          <w:p>
            <w:pPr>
              <w:pStyle w:val="14"/>
            </w:pPr>
            <w:r>
              <w:t>1</w:t>
            </w:r>
          </w:p>
        </w:tc>
        <w:tc>
          <w:tcPr>
            <w:tcW w:w="850" w:type="dxa"/>
            <w:vAlign w:val="center"/>
          </w:tcPr>
          <w:p>
            <w:pPr>
              <w:pStyle w:val="14"/>
            </w:pPr>
            <w:r>
              <w:t>0.04</w:t>
            </w:r>
          </w:p>
        </w:tc>
        <w:tc>
          <w:tcPr>
            <w:tcW w:w="964" w:type="dxa"/>
            <w:vAlign w:val="center"/>
          </w:tcPr>
          <w:p>
            <w:pPr>
              <w:pStyle w:val="14"/>
            </w:pPr>
            <w:r>
              <w:t>0.04</w:t>
            </w:r>
          </w:p>
        </w:tc>
        <w:tc>
          <w:tcPr>
            <w:tcW w:w="964" w:type="dxa"/>
            <w:vAlign w:val="center"/>
          </w:tcPr>
          <w:p>
            <w:pPr>
              <w:pStyle w:val="14"/>
            </w:pPr>
            <w:r>
              <w:t>0.04</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中共沧县县委机构编制委员会办公室（含所属单位）上年末固定资产金额为</w:t>
      </w:r>
      <w:r>
        <w:rPr>
          <w:rFonts w:hint="eastAsia" w:eastAsia="方正仿宋_GBK" w:cs="Times New Roman"/>
          <w:b w:val="0"/>
          <w:color w:val="000000"/>
          <w:sz w:val="28"/>
          <w:lang w:val="en-US" w:eastAsia="zh-CN"/>
        </w:rPr>
        <w:t>45.49</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1.64</w:t>
      </w:r>
      <w:r>
        <w:rPr>
          <w:rFonts w:ascii="Times New Roman" w:hAnsi="Times New Roman" w:eastAsia="方正仿宋_GBK" w:cs="Times New Roman"/>
          <w:b w:val="0"/>
          <w:color w:val="000000"/>
          <w:sz w:val="28"/>
        </w:rPr>
        <w:t>万元，已按要求列入政府采购预算，详见政府采购预算表。</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2"/>
            </w:pPr>
            <w:r>
              <w:t>225中共沧县县委机构编制委员会办公室</w:t>
            </w:r>
          </w:p>
        </w:tc>
        <w:tc>
          <w:tcPr>
            <w:tcW w:w="5669" w:type="dxa"/>
            <w:gridSpan w:val="2"/>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3"/>
            </w:pPr>
            <w:r>
              <w:t>项   目</w:t>
            </w:r>
          </w:p>
        </w:tc>
        <w:tc>
          <w:tcPr>
            <w:tcW w:w="2835" w:type="dxa"/>
            <w:vAlign w:val="center"/>
          </w:tcPr>
          <w:p>
            <w:pPr>
              <w:pStyle w:val="13"/>
            </w:pPr>
            <w:r>
              <w:t>数量</w:t>
            </w:r>
          </w:p>
        </w:tc>
        <w:tc>
          <w:tcPr>
            <w:tcW w:w="283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资产总额</w:t>
            </w:r>
          </w:p>
        </w:tc>
        <w:tc>
          <w:tcPr>
            <w:tcW w:w="2835" w:type="dxa"/>
            <w:vAlign w:val="center"/>
          </w:tcPr>
          <w:p>
            <w:pPr>
              <w:pStyle w:val="16"/>
            </w:pPr>
          </w:p>
        </w:tc>
        <w:tc>
          <w:tcPr>
            <w:tcW w:w="2835" w:type="dxa"/>
            <w:vAlign w:val="center"/>
          </w:tcPr>
          <w:p>
            <w:pPr>
              <w:pStyle w:val="14"/>
              <w:rPr>
                <w:rFonts w:hint="default" w:eastAsia="方正书宋_GBK"/>
                <w:lang w:val="en-US" w:eastAsia="zh-CN"/>
              </w:rPr>
            </w:pPr>
            <w:r>
              <w:rPr>
                <w:rFonts w:hint="eastAsia"/>
                <w:lang w:val="en-US" w:eastAsia="zh-CN"/>
              </w:rPr>
              <w:t>45.49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1、房屋（平方米）</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　　其中：办公用房（平方米）</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2、车辆（台、辆）</w:t>
            </w:r>
          </w:p>
        </w:tc>
        <w:tc>
          <w:tcPr>
            <w:tcW w:w="2835" w:type="dxa"/>
            <w:vAlign w:val="center"/>
          </w:tcPr>
          <w:p>
            <w:pPr>
              <w:pStyle w:val="16"/>
              <w:rPr>
                <w:rFonts w:hint="eastAsia" w:eastAsia="方正书宋_GBK"/>
                <w:lang w:eastAsia="zh-CN"/>
              </w:rPr>
            </w:pPr>
            <w:r>
              <w:rPr>
                <w:rFonts w:hint="eastAsia"/>
                <w:lang w:val="en-US" w:eastAsia="zh-CN"/>
              </w:rPr>
              <w:t>1</w:t>
            </w:r>
          </w:p>
        </w:tc>
        <w:tc>
          <w:tcPr>
            <w:tcW w:w="2835" w:type="dxa"/>
            <w:vAlign w:val="center"/>
          </w:tcPr>
          <w:p>
            <w:pPr>
              <w:pStyle w:val="14"/>
              <w:rPr>
                <w:rFonts w:hint="default" w:eastAsia="方正书宋_GBK"/>
                <w:lang w:val="en-US" w:eastAsia="zh-CN"/>
              </w:rPr>
            </w:pPr>
            <w:r>
              <w:rPr>
                <w:rFonts w:hint="eastAsia"/>
                <w:lang w:val="en-US" w:eastAsia="zh-CN"/>
              </w:rP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3、单价在20万元以上的设备</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4、其他固定资产</w:t>
            </w:r>
          </w:p>
        </w:tc>
        <w:tc>
          <w:tcPr>
            <w:tcW w:w="2835" w:type="dxa"/>
            <w:vAlign w:val="center"/>
          </w:tcPr>
          <w:p>
            <w:pPr>
              <w:pStyle w:val="16"/>
              <w:rPr>
                <w:rFonts w:hint="default" w:eastAsia="方正书宋_GBK"/>
                <w:lang w:val="en-US" w:eastAsia="zh-CN"/>
              </w:rPr>
            </w:pPr>
            <w:r>
              <w:rPr>
                <w:rFonts w:hint="eastAsia"/>
                <w:lang w:val="en-US" w:eastAsia="zh-CN"/>
              </w:rPr>
              <w:t>111</w:t>
            </w:r>
          </w:p>
        </w:tc>
        <w:tc>
          <w:tcPr>
            <w:tcW w:w="2835" w:type="dxa"/>
            <w:vAlign w:val="center"/>
          </w:tcPr>
          <w:p>
            <w:pPr>
              <w:pStyle w:val="14"/>
              <w:rPr>
                <w:rFonts w:hint="default"/>
                <w:lang w:val="en-US"/>
              </w:rPr>
            </w:pPr>
            <w:r>
              <w:rPr>
                <w:rFonts w:hint="eastAsia"/>
                <w:lang w:val="en-US" w:eastAsia="zh-CN"/>
              </w:rPr>
              <w:t>43.13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166360AE"/>
    <w:rsid w:val="48A5587D"/>
    <w:rsid w:val="542F1325"/>
    <w:rsid w:val="6F897765"/>
    <w:rsid w:val="75C97339"/>
    <w:rsid w:val="786D0D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napToGrid/>
      <w:kern w:val="2"/>
      <w:sz w:val="32"/>
      <w:szCs w:val="24"/>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5" Type="http://schemas.openxmlformats.org/officeDocument/2006/relationships/fontTable" Target="fontTable.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2022-03-03T15:38:33Z</dcterms:created>
  <dcterms:modified xsi:type="dcterms:W3CDTF">2022-03-03T07:38:33Z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2022-03-03T15:38:33Z</dcterms:created>
  <dcterms:modified xsi:type="dcterms:W3CDTF">2022-03-03T07:38:32Z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2022-03-03T15:38:29Z</dcterms:created>
  <dcterms:modified xsi:type="dcterms:W3CDTF">2022-03-03T07:38:29Z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2022-03-03T15:38:28Z</dcterms:created>
  <dcterms:modified xsi:type="dcterms:W3CDTF">2022-03-03T07:38:28Z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2022-03-03T15:38:28Z</dcterms:created>
  <dcterms:modified xsi:type="dcterms:W3CDTF">2022-03-03T07:38:28Z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2022-03-03T15:38:22Z</dcterms:created>
  <dcterms:modified xsi:type="dcterms:W3CDTF">2022-03-03T07:38:21Z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2022-03-03T15:38:28Z</dcterms:created>
  <dcterms:modified xsi:type="dcterms:W3CDTF">2022-03-03T07:38:28Z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2022-03-03T15:38:28Z</dcterms:created>
  <dcterms:modified xsi:type="dcterms:W3CDTF">2022-03-03T07:38:27Z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2022-03-03T15:38:22Z</dcterms:created>
  <dcterms:modified xsi:type="dcterms:W3CDTF">2022-03-03T07:38:22Z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2022-03-03T15:38:21Z</dcterms:created>
  <dcterms:modified xsi:type="dcterms:W3CDTF">2022-03-03T07:38:21Z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2022-03-03T15:38:21Z</dcterms:created>
  <dcterms:modified xsi:type="dcterms:W3CDTF">2022-03-03T07:38:21Z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2022-03-03T15:38:21Z</dcterms:created>
  <dcterms:modified xsi:type="dcterms:W3CDTF">2022-03-03T07:38:21Z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2022-03-03T15:38:21Z</dcterms:created>
  <dcterms:modified xsi:type="dcterms:W3CDTF">2022-03-03T07:38:21Z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ad0380d-99d6-4297-9021-d202bc78c98f}">
  <ds:schemaRefs/>
</ds:datastoreItem>
</file>

<file path=customXml/itemProps11.xml><?xml version="1.0" encoding="utf-8"?>
<ds:datastoreItem xmlns:ds="http://schemas.openxmlformats.org/officeDocument/2006/customXml" ds:itemID="{5f2b4268-f9c2-4f76-8934-c817b0174f16}">
  <ds:schemaRefs/>
</ds:datastoreItem>
</file>

<file path=customXml/itemProps12.xml><?xml version="1.0" encoding="utf-8"?>
<ds:datastoreItem xmlns:ds="http://schemas.openxmlformats.org/officeDocument/2006/customXml" ds:itemID="{f151cbaf-350c-4449-b3c4-6282f2cc1a0c}">
  <ds:schemaRefs/>
</ds:datastoreItem>
</file>

<file path=customXml/itemProps13.xml><?xml version="1.0" encoding="utf-8"?>
<ds:datastoreItem xmlns:ds="http://schemas.openxmlformats.org/officeDocument/2006/customXml" ds:itemID="{6a702db1-5281-42cf-85bc-6f8423fcf200}">
  <ds:schemaRefs/>
</ds:datastoreItem>
</file>

<file path=customXml/itemProps14.xml><?xml version="1.0" encoding="utf-8"?>
<ds:datastoreItem xmlns:ds="http://schemas.openxmlformats.org/officeDocument/2006/customXml" ds:itemID="{0d9ec1ed-c688-43a3-baed-8854c94dffa1}">
  <ds:schemaRefs/>
</ds:datastoreItem>
</file>

<file path=customXml/itemProps15.xml><?xml version="1.0" encoding="utf-8"?>
<ds:datastoreItem xmlns:ds="http://schemas.openxmlformats.org/officeDocument/2006/customXml" ds:itemID="{7b00ac46-bef0-4f01-b661-8baa24743cf0}">
  <ds:schemaRefs/>
</ds:datastoreItem>
</file>

<file path=customXml/itemProps16.xml><?xml version="1.0" encoding="utf-8"?>
<ds:datastoreItem xmlns:ds="http://schemas.openxmlformats.org/officeDocument/2006/customXml" ds:itemID="{f7bad4d1-1f62-4eee-8fd7-c0d8b898b6a7}">
  <ds:schemaRefs/>
</ds:datastoreItem>
</file>

<file path=customXml/itemProps17.xml><?xml version="1.0" encoding="utf-8"?>
<ds:datastoreItem xmlns:ds="http://schemas.openxmlformats.org/officeDocument/2006/customXml" ds:itemID="{9e27127d-2815-410a-b98a-a66ec656a50f}">
  <ds:schemaRefs/>
</ds:datastoreItem>
</file>

<file path=customXml/itemProps18.xml><?xml version="1.0" encoding="utf-8"?>
<ds:datastoreItem xmlns:ds="http://schemas.openxmlformats.org/officeDocument/2006/customXml" ds:itemID="{49f25419-751e-4307-8cdc-f085610147f4}">
  <ds:schemaRefs/>
</ds:datastoreItem>
</file>

<file path=customXml/itemProps19.xml><?xml version="1.0" encoding="utf-8"?>
<ds:datastoreItem xmlns:ds="http://schemas.openxmlformats.org/officeDocument/2006/customXml" ds:itemID="{35ff5814-87a3-41d5-9d6a-39df39a41b37}">
  <ds:schemaRefs/>
</ds:datastoreItem>
</file>

<file path=customXml/itemProps2.xml><?xml version="1.0" encoding="utf-8"?>
<ds:datastoreItem xmlns:ds="http://schemas.openxmlformats.org/officeDocument/2006/customXml" ds:itemID="{a784f825-9147-4d3e-9614-993301f33a89}">
  <ds:schemaRefs/>
</ds:datastoreItem>
</file>

<file path=customXml/itemProps20.xml><?xml version="1.0" encoding="utf-8"?>
<ds:datastoreItem xmlns:ds="http://schemas.openxmlformats.org/officeDocument/2006/customXml" ds:itemID="{dd9e86e2-5e51-4292-b2d5-96cce9b1a974}">
  <ds:schemaRefs/>
</ds:datastoreItem>
</file>

<file path=customXml/itemProps21.xml><?xml version="1.0" encoding="utf-8"?>
<ds:datastoreItem xmlns:ds="http://schemas.openxmlformats.org/officeDocument/2006/customXml" ds:itemID="{6b34c5cf-9205-4436-abec-74a7a5479022}">
  <ds:schemaRefs/>
</ds:datastoreItem>
</file>

<file path=customXml/itemProps22.xml><?xml version="1.0" encoding="utf-8"?>
<ds:datastoreItem xmlns:ds="http://schemas.openxmlformats.org/officeDocument/2006/customXml" ds:itemID="{35029d56-82b3-453b-ab71-f4ae89dbb21a}">
  <ds:schemaRefs/>
</ds:datastoreItem>
</file>

<file path=customXml/itemProps23.xml><?xml version="1.0" encoding="utf-8"?>
<ds:datastoreItem xmlns:ds="http://schemas.openxmlformats.org/officeDocument/2006/customXml" ds:itemID="{1d6569be-2f2b-49cf-85bd-84b88ffc05b8}">
  <ds:schemaRefs/>
</ds:datastoreItem>
</file>

<file path=customXml/itemProps24.xml><?xml version="1.0" encoding="utf-8"?>
<ds:datastoreItem xmlns:ds="http://schemas.openxmlformats.org/officeDocument/2006/customXml" ds:itemID="{71eb162c-0fff-4f1d-a085-eb6f3836f941}">
  <ds:schemaRefs/>
</ds:datastoreItem>
</file>

<file path=customXml/itemProps25.xml><?xml version="1.0" encoding="utf-8"?>
<ds:datastoreItem xmlns:ds="http://schemas.openxmlformats.org/officeDocument/2006/customXml" ds:itemID="{26404a22-ef74-43f2-92e8-c8c5f404d2c1}">
  <ds:schemaRefs/>
</ds:datastoreItem>
</file>

<file path=customXml/itemProps26.xml><?xml version="1.0" encoding="utf-8"?>
<ds:datastoreItem xmlns:ds="http://schemas.openxmlformats.org/officeDocument/2006/customXml" ds:itemID="{bde0129b-6b92-4c2f-8099-5754cf1a6099}">
  <ds:schemaRefs/>
</ds:datastoreItem>
</file>

<file path=customXml/itemProps27.xml><?xml version="1.0" encoding="utf-8"?>
<ds:datastoreItem xmlns:ds="http://schemas.openxmlformats.org/officeDocument/2006/customXml" ds:itemID="{1db5df61-cfbb-44ef-af89-dd048503298c}">
  <ds:schemaRefs/>
</ds:datastoreItem>
</file>

<file path=customXml/itemProps3.xml><?xml version="1.0" encoding="utf-8"?>
<ds:datastoreItem xmlns:ds="http://schemas.openxmlformats.org/officeDocument/2006/customXml" ds:itemID="{7aa4f6d1-ece2-4ec7-8c50-0bab4adae89e}">
  <ds:schemaRefs/>
</ds:datastoreItem>
</file>

<file path=customXml/itemProps4.xml><?xml version="1.0" encoding="utf-8"?>
<ds:datastoreItem xmlns:ds="http://schemas.openxmlformats.org/officeDocument/2006/customXml" ds:itemID="{d77b71a5-9e4a-4cb6-bf52-67914a055399}">
  <ds:schemaRefs/>
</ds:datastoreItem>
</file>

<file path=customXml/itemProps5.xml><?xml version="1.0" encoding="utf-8"?>
<ds:datastoreItem xmlns:ds="http://schemas.openxmlformats.org/officeDocument/2006/customXml" ds:itemID="{eb315860-7c45-40c5-8237-dc2e3ca6692a}">
  <ds:schemaRefs/>
</ds:datastoreItem>
</file>

<file path=customXml/itemProps6.xml><?xml version="1.0" encoding="utf-8"?>
<ds:datastoreItem xmlns:ds="http://schemas.openxmlformats.org/officeDocument/2006/customXml" ds:itemID="{affd26fb-c1c4-4cbc-b507-531052030b39}">
  <ds:schemaRefs/>
</ds:datastoreItem>
</file>

<file path=customXml/itemProps7.xml><?xml version="1.0" encoding="utf-8"?>
<ds:datastoreItem xmlns:ds="http://schemas.openxmlformats.org/officeDocument/2006/customXml" ds:itemID="{5a660fbc-4393-4b30-ba54-cfbbbb39e8b5}">
  <ds:schemaRefs/>
</ds:datastoreItem>
</file>

<file path=customXml/itemProps8.xml><?xml version="1.0" encoding="utf-8"?>
<ds:datastoreItem xmlns:ds="http://schemas.openxmlformats.org/officeDocument/2006/customXml" ds:itemID="{bd0ea4e0-8d5e-4672-8b74-8023fb671a4a}">
  <ds:schemaRefs/>
</ds:datastoreItem>
</file>

<file path=customXml/itemProps9.xml><?xml version="1.0" encoding="utf-8"?>
<ds:datastoreItem xmlns:ds="http://schemas.openxmlformats.org/officeDocument/2006/customXml" ds:itemID="{e834004f-a777-4bb3-9d17-d3ddb4884f1d}">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Office_11.8.2.8808_F1E327BC-269C-435d-A152-05C5408002CA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2022-03-03T15:38:00Z</dcterms:created>
  <dc:creator>Administrator</dc:creator>
  <cp:lastModifiedBy>Administrator</cp:lastModifiedBy>
  <dcterms:modified xsi:type="dcterms:W3CDTF">2022-03-04T12:13:37Z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