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0" w:after="0" w:line="240" w:lineRule="auto"/>
        <w:ind w:left="0" w:right="0" w:firstLine="0"/>
        <w:jc w:val="center"/>
        <w:rPr>
          <w:rFonts w:ascii="方正小标宋简体" w:eastAsia="方正小标宋简体" w:cs="方正小标宋简体" w:hAnsi="方正小标宋简体" w:hint="eastAsia"/>
          <w:color w:val="auto"/>
          <w:spacing w:val="0"/>
          <w:position w:val="0"/>
          <w:sz w:val="44"/>
          <w:shd w:val="clear" w:color="auto" w:fill="auto"/>
          <w:lang w:eastAsia="zh-CN"/>
        </w:rPr>
      </w:pPr>
      <w:r>
        <w:rPr>
          <w:rFonts w:ascii="方正小标宋简体" w:eastAsia="方正小标宋简体" w:cs="方正小标宋简体" w:hAnsi="方正小标宋简体" w:hint="eastAsia"/>
          <w:color w:val="auto"/>
          <w:spacing w:val="0"/>
          <w:position w:val="0"/>
          <w:sz w:val="44"/>
          <w:shd w:val="clear" w:color="auto" w:fill="auto"/>
        </w:rPr>
        <w:t>中共深泽县委机构编制委员会办公室</w:t>
      </w:r>
      <w:r>
        <w:rPr>
          <w:rFonts w:ascii="方正小标宋简体" w:eastAsia="方正小标宋简体" w:cs="方正小标宋简体" w:hAnsi="方正小标宋简体" w:hint="eastAsia"/>
          <w:color w:val="auto"/>
          <w:spacing w:val="0"/>
          <w:position w:val="0"/>
          <w:sz w:val="44"/>
          <w:shd w:val="clear" w:color="auto" w:fill="auto"/>
          <w:lang w:eastAsia="zh-CN"/>
        </w:rPr>
        <w:t>本级</w:t>
      </w:r>
    </w:p>
    <w:p>
      <w:pPr>
        <w:spacing w:before="0" w:after="0" w:line="240" w:lineRule="auto"/>
        <w:ind w:left="0" w:right="0" w:firstLine="0"/>
        <w:jc w:val="center"/>
        <w:rPr>
          <w:rFonts w:ascii="方正小标宋_GBK" w:eastAsia="方正小标宋_GBK" w:cs="方正小标宋_GBK" w:hAnsi="方正小标宋_GBK"/>
          <w:color w:val="auto"/>
          <w:spacing w:val="0"/>
          <w:position w:val="0"/>
          <w:sz w:val="44"/>
          <w:shd w:val="clear" w:color="auto" w:fill="auto"/>
        </w:rPr>
      </w:pPr>
      <w:r>
        <w:rPr>
          <w:rFonts w:ascii="方正小标宋简体" w:eastAsia="方正小标宋简体" w:cs="方正小标宋简体" w:hAnsi="方正小标宋简体" w:hint="eastAsia"/>
          <w:color w:val="auto"/>
          <w:spacing w:val="0"/>
          <w:position w:val="0"/>
          <w:sz w:val="44"/>
          <w:shd w:val="clear" w:color="auto" w:fill="auto"/>
        </w:rPr>
        <w:t>202</w:t>
      </w:r>
      <w:r>
        <w:rPr>
          <w:rFonts w:ascii="方正小标宋简体" w:eastAsia="方正小标宋简体" w:cs="方正小标宋简体" w:hAnsi="方正小标宋简体" w:hint="eastAsia"/>
          <w:color w:val="auto"/>
          <w:spacing w:val="0"/>
          <w:position w:val="0"/>
          <w:sz w:val="44"/>
          <w:shd w:val="clear" w:color="auto" w:fill="auto"/>
          <w:lang w:val="en-US" w:eastAsia="zh-CN"/>
        </w:rPr>
        <w:t>1</w:t>
      </w:r>
      <w:r>
        <w:rPr>
          <w:rFonts w:ascii="方正小标宋简体" w:eastAsia="方正小标宋简体" w:cs="方正小标宋简体" w:hAnsi="方正小标宋简体" w:hint="eastAsia"/>
          <w:color w:val="auto"/>
          <w:spacing w:val="0"/>
          <w:position w:val="0"/>
          <w:sz w:val="44"/>
          <w:shd w:val="clear" w:color="auto" w:fill="auto"/>
        </w:rPr>
        <w:t>年</w:t>
      </w:r>
      <w:r>
        <w:rPr>
          <w:rFonts w:ascii="方正小标宋简体" w:eastAsia="方正小标宋简体" w:cs="方正小标宋简体" w:hAnsi="方正小标宋简体" w:hint="eastAsia"/>
          <w:color w:val="auto"/>
          <w:spacing w:val="0"/>
          <w:position w:val="0"/>
          <w:sz w:val="44"/>
          <w:shd w:val="clear" w:color="auto" w:fill="auto"/>
          <w:lang w:eastAsia="zh-CN"/>
        </w:rPr>
        <w:t>单位</w:t>
      </w:r>
      <w:r>
        <w:rPr>
          <w:rFonts w:ascii="方正小标宋简体" w:eastAsia="方正小标宋简体" w:cs="方正小标宋简体" w:hAnsi="方正小标宋简体" w:hint="eastAsia"/>
          <w:color w:val="auto"/>
          <w:spacing w:val="0"/>
          <w:position w:val="0"/>
          <w:sz w:val="44"/>
          <w:shd w:val="clear" w:color="auto" w:fill="auto"/>
        </w:rPr>
        <w:t>预算信息公开情况说明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按照《中华人民共和国</w:t>
      </w:r>
      <w:bookmarkStart w:id="0" w:name="_GoBack"/>
      <w:bookmarkEnd w:id="0"/>
      <w:r>
        <w:rPr>
          <w:rFonts w:ascii="宋体" w:eastAsia="宋体" w:cs="宋体" w:hAnsi="宋体"/>
          <w:color w:val="auto"/>
          <w:spacing w:val="0"/>
          <w:position w:val="0"/>
          <w:sz w:val="32"/>
          <w:shd w:val="clear" w:color="auto" w:fill="auto"/>
        </w:rPr>
        <w:t>预算法》、《地方预决算公开操作规程》和《</w:t>
      </w:r>
      <w:r>
        <w:rPr>
          <w:rFonts w:ascii="宋体" w:cs="宋体" w:hAnsi="宋体" w:hint="eastAsia"/>
          <w:color w:val="auto"/>
          <w:spacing w:val="0"/>
          <w:position w:val="0"/>
          <w:sz w:val="32"/>
          <w:shd w:val="clear" w:color="auto" w:fill="auto"/>
          <w:lang w:eastAsia="zh-CN"/>
        </w:rPr>
        <w:t>深泽县县级</w:t>
      </w:r>
      <w:r>
        <w:rPr>
          <w:rFonts w:ascii="宋体" w:eastAsia="宋体" w:cs="宋体" w:hAnsi="宋体"/>
          <w:color w:val="auto"/>
          <w:spacing w:val="0"/>
          <w:position w:val="0"/>
          <w:sz w:val="32"/>
          <w:shd w:val="clear" w:color="auto" w:fill="auto"/>
        </w:rPr>
        <w:t>预算公开办法》规定，现将</w:t>
      </w:r>
      <w:r>
        <w:rPr>
          <w:rFonts w:ascii="宋体" w:eastAsia="宋体" w:cs="宋体" w:hAnsi="宋体" w:hint="eastAsia"/>
          <w:color w:val="auto"/>
          <w:spacing w:val="0"/>
          <w:position w:val="0"/>
          <w:sz w:val="32"/>
          <w:shd w:val="clear" w:color="auto" w:fill="auto"/>
          <w:lang w:eastAsia="zh-CN"/>
        </w:rPr>
        <w:t>中共深泽县委机构编制委员会办公室</w:t>
      </w: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宋体" w:eastAsia="宋体" w:cs="宋体" w:hAnsi="宋体"/>
          <w:color w:val="auto"/>
          <w:spacing w:val="0"/>
          <w:position w:val="0"/>
          <w:sz w:val="32"/>
          <w:shd w:val="clear" w:color="auto" w:fill="auto"/>
        </w:rPr>
        <w:t>年</w:t>
      </w:r>
      <w:r>
        <w:rPr>
          <w:rFonts w:ascii="宋体" w:cs="宋体" w:hAnsi="宋体" w:hint="eastAsia"/>
          <w:color w:val="auto"/>
          <w:spacing w:val="0"/>
          <w:position w:val="0"/>
          <w:sz w:val="32"/>
          <w:shd w:val="clear" w:color="auto" w:fill="auto"/>
          <w:lang w:eastAsia="zh-CN"/>
        </w:rPr>
        <w:t>单位</w:t>
      </w:r>
      <w:r>
        <w:rPr>
          <w:rFonts w:ascii="宋体" w:eastAsia="宋体" w:cs="宋体" w:hAnsi="宋体"/>
          <w:color w:val="auto"/>
          <w:spacing w:val="0"/>
          <w:position w:val="0"/>
          <w:sz w:val="32"/>
          <w:shd w:val="clear" w:color="auto" w:fill="auto"/>
        </w:rPr>
        <w:t>预算公开如下：</w:t>
      </w:r>
    </w:p>
    <w:p>
      <w:p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一、</w:t>
      </w:r>
      <w:r>
        <w:rPr>
          <w:rFonts w:ascii="黑体" w:eastAsia="黑体" w:cs="黑体" w:hAnsi="黑体" w:hint="eastAsia"/>
          <w:color w:val="auto"/>
          <w:spacing w:val="0"/>
          <w:position w:val="0"/>
          <w:sz w:val="32"/>
          <w:shd w:val="clear" w:color="auto" w:fill="auto"/>
          <w:lang w:eastAsia="zh-CN"/>
        </w:rPr>
        <w:t>单位</w:t>
      </w:r>
      <w:r>
        <w:rPr>
          <w:rFonts w:ascii="黑体" w:eastAsia="黑体" w:cs="黑体" w:hAnsi="黑体"/>
          <w:color w:val="auto"/>
          <w:spacing w:val="0"/>
          <w:position w:val="0"/>
          <w:sz w:val="32"/>
          <w:shd w:val="clear" w:color="auto" w:fill="auto"/>
        </w:rPr>
        <w:t>职责及机构设置情况</w:t>
      </w:r>
    </w:p>
    <w:p>
      <w:pPr>
        <w:spacing w:before="0" w:after="0" w:line="499" w:lineRule="auto"/>
        <w:ind w:left="0" w:right="0" w:firstLine="560"/>
        <w:jc w:val="left"/>
        <w:rPr>
          <w:rFonts w:ascii="宋体" w:eastAsia="宋体" w:cs="宋体" w:hAnsi="宋体"/>
          <w:color w:val="auto"/>
          <w:spacing w:val="0"/>
          <w:position w:val="0"/>
          <w:sz w:val="32"/>
          <w:shd w:val="clear" w:color="auto" w:fill="auto"/>
        </w:rPr>
      </w:pPr>
      <w:r>
        <w:rPr>
          <w:rFonts w:ascii="仿宋" w:eastAsia="仿宋" w:cs="仿宋" w:hAnsi="仿宋" w:hint="eastAsia"/>
          <w:b/>
          <w:color w:val="auto"/>
          <w:spacing w:val="0"/>
          <w:position w:val="0"/>
          <w:sz w:val="32"/>
          <w:shd w:val="clear" w:color="auto" w:fill="auto"/>
          <w:lang w:eastAsia="zh-CN"/>
        </w:rPr>
        <w:t>单位</w:t>
      </w:r>
      <w:r>
        <w:rPr>
          <w:rFonts w:ascii="仿宋" w:eastAsia="仿宋" w:cs="仿宋" w:hAnsi="仿宋"/>
          <w:b/>
          <w:color w:val="auto"/>
          <w:spacing w:val="0"/>
          <w:position w:val="0"/>
          <w:sz w:val="32"/>
          <w:shd w:val="clear" w:color="auto" w:fill="auto"/>
        </w:rPr>
        <w:t>职责：</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根据《中共深泽县委机构编制委员会办公室职能配置、内设机构和人员编制规定》， 中共深泽县委机构编制委员会办公室的主要职责是：</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一）贯彻落实党中央和省市委关于行政管理体制和机构改革以及机构编制管理的政策法规，拟订相关制度、措施等规范性文件并监督实施。组织开展行政管理体制改革、事业单位管理体制改革及机构编制工作基础性、创新性和前瞻性研究。</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（二）组织拟订全县行政管理体制改革和县委、县政府机构改革方案并组织实施。</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（六）负责全县党政群机关统一社会信用代码管理工作，负责全县事业单位法人管理和监督检查工作。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（七）负责全县开发区（园区）行政管理体制改革工作。组织拟订开发区（园区）机构编制管理办法并组织实施；负责全县开发区（园区）职能配置、机构设置、人员编制和领导职数审核及上报工作。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九）负责跟踪评估、监督检查全县各级行政、事业单位管理体制改革、机构改革及机构编制政策执行情况；负责受理违反机构编制法规、纪律的检举、控告和投诉，对违反机构编制法规、纪律问题进行调查处理。</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（十）负责全县机构编制电子政务和信息化工作。负责全县机构编制统计工作；负责机构编制网站的管理、使用和维护；负责党政群机关、事业单位和其他非营利性单位网上名称管理工作。</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（十一）完成县委、县政府和县委机构编制委员会交办的其他任务。</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（十二）有关职责分工。</w:t>
      </w:r>
    </w:p>
    <w:p>
      <w:pPr>
        <w:spacing w:line="500" w:lineRule="exact"/>
        <w:ind w:firstLineChars="200" w:firstLine="640"/>
        <w:jc w:val="left"/>
        <w:rPr>
          <w:rFonts w:ascii="Times New Roman" w:eastAsia="宋体" w:cs="Times New Roman" w:hAnsi="Times New Roman"/>
          <w:sz w:val="32"/>
          <w:szCs w:val="32"/>
        </w:rPr>
      </w:pPr>
      <w:r>
        <w:rPr>
          <w:rFonts w:ascii="Times New Roman" w:eastAsia="宋体" w:cs="Times New Roman" w:hAnsi="Times New Roman"/>
          <w:sz w:val="32"/>
          <w:szCs w:val="32"/>
        </w:rPr>
        <w:t>县委编办负责全县公益类事业单位管理体制改革工作。县发展和改革局负责生产经营类事业单位管理体制改革工作。</w:t>
      </w:r>
    </w:p>
    <w:p>
      <w:pPr>
        <w:spacing w:before="0" w:after="0" w:line="499" w:lineRule="auto"/>
        <w:ind w:left="0" w:right="0" w:firstLine="560"/>
        <w:jc w:val="left"/>
        <w:rPr>
          <w:rFonts w:ascii="宋体" w:eastAsia="宋体" w:cs="宋体" w:hAnsi="宋体"/>
          <w:color w:val="auto"/>
          <w:spacing w:val="0"/>
          <w:position w:val="0"/>
          <w:sz w:val="28"/>
          <w:shd w:val="clear" w:color="auto" w:fill="auto"/>
        </w:rPr>
      </w:pPr>
    </w:p>
    <w:p>
      <w:pPr>
        <w:spacing w:before="0" w:after="0" w:line="240" w:lineRule="auto"/>
        <w:ind w:left="0" w:right="0" w:firstLine="643"/>
        <w:jc w:val="both"/>
        <w:rPr>
          <w:rFonts w:ascii="仿宋" w:eastAsia="仿宋" w:cs="仿宋" w:hAnsi="仿宋"/>
          <w:b/>
          <w:color w:val="auto"/>
          <w:spacing w:val="0"/>
          <w:position w:val="0"/>
          <w:sz w:val="32"/>
          <w:shd w:val="clear" w:color="auto" w:fill="auto"/>
        </w:rPr>
      </w:pPr>
      <w:r>
        <w:rPr>
          <w:rFonts w:ascii="仿宋" w:eastAsia="仿宋" w:cs="仿宋" w:hAnsi="仿宋"/>
          <w:b/>
          <w:color w:val="auto"/>
          <w:spacing w:val="0"/>
          <w:position w:val="0"/>
          <w:sz w:val="32"/>
          <w:shd w:val="clear" w:color="auto" w:fill="auto"/>
        </w:rPr>
        <w:t>机构设置：</w:t>
      </w:r>
    </w:p>
    <w:p>
      <w:pPr>
        <w:spacing w:before="0" w:after="0" w:line="240" w:lineRule="auto"/>
        <w:ind w:left="0" w:right="0" w:firstLine="0"/>
        <w:jc w:val="center"/>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部门机构设置情况</w:t>
      </w:r>
    </w:p>
    <w:tbl>
      <w:tblPr>
        <w:jc w:val="center"/>
        <w:tblW w:w="972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417"/>
        <w:gridCol w:w="1134"/>
        <w:gridCol w:w="1276"/>
        <w:gridCol w:w="2902"/>
      </w:tblGrid>
      <w:tr>
        <w:tc>
          <w:tcPr>
            <w:tcW w:w="4417"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单位名称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单位性质</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单位规格</w:t>
            </w:r>
          </w:p>
        </w:tc>
        <w:tc>
          <w:tcPr>
            <w:tcW w:w="29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b/>
                <w:color w:val="auto"/>
                <w:spacing w:val="0"/>
                <w:position w:val="0"/>
                <w:sz w:val="21"/>
                <w:shd w:val="clear" w:color="auto" w:fill="auto"/>
              </w:rPr>
              <w:t>经费保障形式</w:t>
            </w:r>
          </w:p>
        </w:tc>
      </w:tr>
      <w:tr>
        <w:tc>
          <w:tcPr>
            <w:tcW w:w="4417"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134"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27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2902"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r>
      <w:tr>
        <w:tc>
          <w:tcPr>
            <w:tcW w:w="4417"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left"/>
              <w:rPr>
                <w:rFonts w:eastAsia="宋体" w:hint="eastAsia"/>
                <w:color w:val="auto"/>
                <w:spacing w:val="0"/>
                <w:position w:val="0"/>
                <w:lang w:val="en-US" w:eastAsia="zh-CN"/>
              </w:rPr>
            </w:pPr>
            <w:r>
              <w:t>中共深泽县委机构编制委员会办公室本级</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行政</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正科级</w:t>
            </w:r>
          </w:p>
        </w:tc>
        <w:tc>
          <w:tcPr>
            <w:tcW w:w="2902"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before="0" w:after="0" w:line="300" w:lineRule="auto"/>
              <w:ind w:left="0" w:right="0" w:firstLine="0"/>
              <w:jc w:val="center"/>
              <w:rPr>
                <w:rFonts w:ascii="宋体" w:eastAsia="宋体" w:cs="宋体" w:hAnsi="宋体"/>
                <w:color w:val="auto"/>
                <w:spacing w:val="0"/>
                <w:position w:val="0"/>
              </w:rPr>
            </w:pPr>
            <w:r>
              <w:rPr>
                <w:rFonts w:ascii="宋体" w:eastAsia="宋体" w:cs="宋体" w:hAnsi="宋体"/>
                <w:color w:val="auto"/>
                <w:spacing w:val="0"/>
                <w:position w:val="0"/>
                <w:sz w:val="21"/>
                <w:shd w:val="clear" w:color="auto" w:fill="auto"/>
              </w:rPr>
              <w:t>财政拨款</w:t>
            </w:r>
          </w:p>
        </w:tc>
      </w:tr>
    </w:tbl>
    <w:p>
      <w:pPr>
        <w:spacing w:before="0" w:after="0" w:line="240" w:lineRule="auto"/>
        <w:ind w:left="0" w:right="0" w:firstLine="640"/>
        <w:jc w:val="both"/>
        <w:rPr>
          <w:rFonts w:ascii="黑体" w:eastAsia="黑体" w:cs="黑体" w:hAnsi="黑体"/>
          <w:color w:val="auto"/>
          <w:spacing w:val="0"/>
          <w:position w:val="0"/>
          <w:sz w:val="32"/>
          <w:shd w:val="clear" w:color="auto" w:fill="auto"/>
        </w:rPr>
      </w:pPr>
    </w:p>
    <w:p>
      <w:p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二、</w:t>
      </w:r>
      <w:r>
        <w:rPr>
          <w:rFonts w:ascii="黑体" w:eastAsia="黑体" w:cs="黑体" w:hAnsi="黑体" w:hint="eastAsia"/>
          <w:color w:val="auto"/>
          <w:spacing w:val="0"/>
          <w:position w:val="0"/>
          <w:sz w:val="32"/>
          <w:shd w:val="clear" w:color="auto" w:fill="auto"/>
          <w:lang w:eastAsia="zh-CN"/>
        </w:rPr>
        <w:t>单位</w:t>
      </w:r>
      <w:r>
        <w:rPr>
          <w:rFonts w:ascii="黑体" w:eastAsia="黑体" w:cs="黑体" w:hAnsi="黑体"/>
          <w:color w:val="auto"/>
          <w:spacing w:val="0"/>
          <w:position w:val="0"/>
          <w:sz w:val="32"/>
          <w:shd w:val="clear" w:color="auto" w:fill="auto"/>
        </w:rPr>
        <w:t>预算安排的总体情况</w:t>
      </w:r>
    </w:p>
    <w:p>
      <w:pPr>
        <w:spacing w:before="0" w:after="0" w:line="240" w:lineRule="auto"/>
        <w:ind w:left="0" w:right="0" w:firstLine="640"/>
        <w:jc w:val="both"/>
        <w:rPr>
          <w:rFonts w:ascii="Times New Roman" w:eastAsia="宋体" w:cs="Times New Roman" w:hAnsi="Times New Roman" w:hint="eastAsia"/>
          <w:color w:val="auto"/>
          <w:spacing w:val="0"/>
          <w:position w:val="0"/>
          <w:sz w:val="32"/>
          <w:shd w:val="clear" w:color="auto" w:fill="auto"/>
          <w:lang w:eastAsia="zh-CN"/>
        </w:rPr>
      </w:pPr>
      <w:r>
        <w:rPr>
          <w:rFonts w:ascii="Times New Roman" w:eastAsia="Times New Roman" w:cs="Times New Roman" w:hAnsi="Times New Roman"/>
          <w:color w:val="auto"/>
          <w:spacing w:val="0"/>
          <w:position w:val="0"/>
          <w:sz w:val="32"/>
          <w:shd w:val="clear" w:color="auto" w:fill="auto"/>
        </w:rPr>
        <w:t>按照预算管理有关规定，目前我县</w:t>
      </w:r>
      <w:r>
        <w:rPr>
          <w:rFonts w:ascii="Times New Roman" w:cs="Times New Roman" w:hAnsi="Times New Roman" w:hint="eastAsia"/>
          <w:color w:val="auto"/>
          <w:spacing w:val="0"/>
          <w:position w:val="0"/>
          <w:sz w:val="32"/>
          <w:shd w:val="clear" w:color="auto" w:fill="auto"/>
          <w:lang w:eastAsia="zh-CN"/>
        </w:rPr>
        <w:t>单位</w:t>
      </w:r>
      <w:r>
        <w:rPr>
          <w:rFonts w:ascii="Times New Roman" w:eastAsia="Times New Roman" w:cs="Times New Roman" w:hAnsi="Times New Roman"/>
          <w:color w:val="auto"/>
          <w:spacing w:val="0"/>
          <w:position w:val="0"/>
          <w:sz w:val="32"/>
          <w:shd w:val="clear" w:color="auto" w:fill="auto"/>
        </w:rPr>
        <w:t>预算的编制实行综合预算管理，即全部收入和支出都反映</w:t>
      </w:r>
      <w:r>
        <w:rPr>
          <w:rFonts w:ascii="Times New Roman" w:cs="Times New Roman" w:hAnsi="Times New Roman" w:hint="eastAsia"/>
          <w:color w:val="auto"/>
          <w:spacing w:val="0"/>
          <w:position w:val="0"/>
          <w:sz w:val="32"/>
          <w:shd w:val="clear" w:color="auto" w:fill="auto"/>
          <w:lang w:eastAsia="zh-CN"/>
        </w:rPr>
        <w:t>在</w:t>
      </w:r>
      <w:r>
        <w:rPr>
          <w:rFonts w:ascii="Times New Roman" w:eastAsia="Times New Roman" w:cs="Times New Roman" w:hAnsi="Times New Roman"/>
          <w:color w:val="auto"/>
          <w:spacing w:val="0"/>
          <w:position w:val="0"/>
          <w:sz w:val="32"/>
          <w:shd w:val="clear" w:color="auto" w:fill="auto"/>
        </w:rPr>
        <w:t>预算中。</w:t>
      </w:r>
      <w:r>
        <w:rPr>
          <w:rFonts w:ascii="Times New Roman" w:cs="Times New Roman" w:hAnsi="Times New Roman" w:hint="eastAsia"/>
          <w:color w:val="auto"/>
          <w:spacing w:val="0"/>
          <w:position w:val="0"/>
          <w:sz w:val="32"/>
          <w:shd w:val="clear" w:color="auto" w:fill="auto"/>
          <w:lang w:eastAsia="zh-CN"/>
        </w:rPr>
        <w:t>中共深泽县委机构编制委员会办公室及所属事业单位的收支包含在部门预算中。</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1、收入说明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反映本</w:t>
      </w:r>
      <w:r>
        <w:rPr>
          <w:rFonts w:ascii="Times New Roman" w:cs="Times New Roman" w:hAnsi="Times New Roman" w:hint="eastAsia"/>
          <w:color w:val="auto"/>
          <w:spacing w:val="0"/>
          <w:position w:val="0"/>
          <w:sz w:val="32"/>
          <w:shd w:val="clear" w:color="auto" w:fill="auto"/>
          <w:lang w:eastAsia="zh-CN"/>
        </w:rPr>
        <w:t>单位</w:t>
      </w:r>
      <w:r>
        <w:rPr>
          <w:rFonts w:ascii="Times New Roman" w:eastAsia="Times New Roman" w:cs="Times New Roman" w:hAnsi="Times New Roman"/>
          <w:color w:val="auto"/>
          <w:spacing w:val="0"/>
          <w:position w:val="0"/>
          <w:sz w:val="32"/>
          <w:shd w:val="clear" w:color="auto" w:fill="auto"/>
        </w:rPr>
        <w:t>当年全部收入。20</w:t>
      </w:r>
      <w:r>
        <w:rPr>
          <w:rFonts w:ascii="Times New Roman" w:cs="Times New Roman" w:hAnsi="Times New Roman" w:hint="eastAsia"/>
          <w:color w:val="auto"/>
          <w:spacing w:val="0"/>
          <w:position w:val="0"/>
          <w:sz w:val="32"/>
          <w:shd w:val="clear" w:color="auto" w:fill="auto"/>
          <w:lang w:val="en-US" w:eastAsia="zh-CN"/>
        </w:rPr>
        <w:t>21</w:t>
      </w:r>
      <w:r>
        <w:rPr>
          <w:rFonts w:ascii="Times New Roman" w:eastAsia="Times New Roman" w:cs="Times New Roman" w:hAnsi="Times New Roman"/>
          <w:color w:val="auto"/>
          <w:spacing w:val="0"/>
          <w:position w:val="0"/>
          <w:sz w:val="32"/>
          <w:shd w:val="clear" w:color="auto" w:fill="auto"/>
        </w:rPr>
        <w:t>年预算收入</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万元，其中：一般公共预算收入</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万元，基金预算收入0万元，财政专户核拨收入0万元，其他来源收入0万元。</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2、支出说明</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收支预算总表支出栏、基本支出表、项目支出表按经济分类和支出功能分类科目编制，反映中共深泽县委机构编制委员会办公室年度部门预算中支出预算的总体情况。202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年部门支出预算为</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万元，其中基本支出</w:t>
      </w:r>
      <w:r>
        <w:rPr>
          <w:rFonts w:ascii="Times New Roman" w:cs="Times New Roman" w:hAnsi="Times New Roman" w:hint="eastAsia"/>
          <w:color w:val="auto"/>
          <w:spacing w:val="0"/>
          <w:position w:val="0"/>
          <w:sz w:val="32"/>
          <w:shd w:val="clear" w:color="auto" w:fill="auto"/>
          <w:lang w:val="en-US" w:eastAsia="zh-CN"/>
        </w:rPr>
        <w:t>74.96</w:t>
      </w:r>
      <w:r>
        <w:rPr>
          <w:rFonts w:ascii="Times New Roman" w:eastAsia="Times New Roman" w:cs="Times New Roman" w:hAnsi="Times New Roman"/>
          <w:color w:val="auto"/>
          <w:spacing w:val="0"/>
          <w:position w:val="0"/>
          <w:sz w:val="32"/>
          <w:shd w:val="clear" w:color="auto" w:fill="auto"/>
        </w:rPr>
        <w:t>万元，包括人员经费</w:t>
      </w:r>
      <w:r>
        <w:rPr>
          <w:rFonts w:ascii="Times New Roman" w:cs="Times New Roman" w:hAnsi="Times New Roman" w:hint="eastAsia"/>
          <w:color w:val="auto"/>
          <w:spacing w:val="0"/>
          <w:position w:val="0"/>
          <w:sz w:val="32"/>
          <w:shd w:val="clear" w:color="auto" w:fill="auto"/>
          <w:lang w:val="en-US" w:eastAsia="zh-CN"/>
        </w:rPr>
        <w:t>68.10</w:t>
      </w:r>
      <w:r>
        <w:rPr>
          <w:rFonts w:ascii="Times New Roman" w:eastAsia="Times New Roman" w:cs="Times New Roman" w:hAnsi="Times New Roman"/>
          <w:color w:val="auto"/>
          <w:spacing w:val="0"/>
          <w:position w:val="0"/>
          <w:sz w:val="32"/>
          <w:shd w:val="clear" w:color="auto" w:fill="auto"/>
        </w:rPr>
        <w:t>万元和日常公用经费</w:t>
      </w:r>
      <w:r>
        <w:rPr>
          <w:rFonts w:ascii="Times New Roman" w:cs="Times New Roman" w:hAnsi="Times New Roman" w:hint="eastAsia"/>
          <w:color w:val="auto"/>
          <w:spacing w:val="0"/>
          <w:position w:val="0"/>
          <w:sz w:val="32"/>
          <w:shd w:val="clear" w:color="auto" w:fill="auto"/>
          <w:lang w:val="en-US" w:eastAsia="zh-CN"/>
        </w:rPr>
        <w:t>6.86</w:t>
      </w:r>
      <w:r>
        <w:rPr>
          <w:rFonts w:ascii="宋体" w:eastAsia="宋体" w:cs="宋体" w:hAnsi="宋体"/>
          <w:color w:val="auto"/>
          <w:spacing w:val="0"/>
          <w:position w:val="0"/>
          <w:sz w:val="32"/>
          <w:shd w:val="clear" w:color="auto" w:fill="auto"/>
        </w:rPr>
        <w:t>万元；项目支出</w:t>
      </w:r>
      <w:r>
        <w:rPr>
          <w:rFonts w:ascii="Times New Roman" w:cs="Times New Roman" w:hAnsi="Times New Roman" w:hint="eastAsia"/>
          <w:color w:val="auto"/>
          <w:spacing w:val="0"/>
          <w:position w:val="0"/>
          <w:sz w:val="32"/>
          <w:shd w:val="clear" w:color="auto" w:fill="auto"/>
          <w:lang w:val="en-US" w:eastAsia="zh-CN"/>
        </w:rPr>
        <w:t>8.46</w:t>
      </w:r>
      <w:r>
        <w:rPr>
          <w:rFonts w:ascii="宋体" w:eastAsia="宋体" w:cs="宋体" w:hAnsi="宋体"/>
          <w:color w:val="auto"/>
          <w:spacing w:val="0"/>
          <w:position w:val="0"/>
          <w:sz w:val="32"/>
          <w:shd w:val="clear" w:color="auto" w:fill="auto"/>
        </w:rPr>
        <w:t>万元，</w:t>
      </w:r>
      <w:r>
        <w:rPr>
          <w:rFonts w:ascii="宋体" w:eastAsia="宋体" w:cs="宋体" w:hAnsi="宋体"/>
          <w:color w:val="000000"/>
          <w:spacing w:val="0"/>
          <w:position w:val="0"/>
          <w:sz w:val="32"/>
          <w:shd w:val="clear" w:color="auto" w:fill="auto"/>
          <w14:textFill>
            <w14:solidFill>
              <w14:srgbClr w14:val="000000"/>
            </w14:solidFill>
          </w14:textFill>
        </w:rPr>
        <w:t>主</w:t>
      </w:r>
      <w:r>
        <w:rPr>
          <w:rFonts w:ascii="Times New Roman" w:eastAsia="Times New Roman" w:cs="Times New Roman" w:hAnsi="Times New Roman"/>
          <w:color w:val="auto"/>
          <w:spacing w:val="0"/>
          <w:position w:val="0"/>
          <w:sz w:val="32"/>
          <w:shd w:val="clear" w:color="auto" w:fill="auto"/>
        </w:rPr>
        <w:t>要为</w:t>
      </w:r>
      <w:r>
        <w:rPr>
          <w:rFonts w:ascii="Times New Roman" w:eastAsia="Times New Roman" w:cs="Times New Roman" w:hAnsi="Times New Roman" w:hint="eastAsia"/>
          <w:color w:val="auto"/>
          <w:spacing w:val="0"/>
          <w:position w:val="0"/>
          <w:sz w:val="32"/>
          <w:shd w:val="clear" w:color="auto" w:fill="auto"/>
        </w:rPr>
        <w:t>综合事务管理</w:t>
      </w:r>
      <w:r>
        <w:rPr>
          <w:rFonts w:ascii="Times New Roman" w:cs="Times New Roman" w:hAnsi="Times New Roman" w:hint="eastAsia"/>
          <w:color w:val="auto"/>
          <w:spacing w:val="0"/>
          <w:position w:val="0"/>
          <w:sz w:val="32"/>
          <w:shd w:val="clear" w:color="auto" w:fill="auto"/>
          <w:lang w:eastAsia="zh-CN"/>
        </w:rPr>
        <w:t>支出</w:t>
      </w:r>
      <w:r>
        <w:rPr>
          <w:rFonts w:ascii="Times New Roman" w:cs="Times New Roman" w:hAnsi="Times New Roman" w:hint="eastAsia"/>
          <w:color w:val="auto"/>
          <w:spacing w:val="0"/>
          <w:position w:val="0"/>
          <w:sz w:val="32"/>
          <w:shd w:val="clear" w:color="auto" w:fill="auto"/>
          <w:lang w:val="en-US" w:eastAsia="zh-CN"/>
        </w:rPr>
        <w:t>5.46</w:t>
      </w:r>
      <w:r>
        <w:rPr>
          <w:rFonts w:ascii="宋体" w:eastAsia="宋体" w:cs="宋体" w:hAnsi="宋体"/>
          <w:color w:val="000000"/>
          <w:spacing w:val="0"/>
          <w:position w:val="0"/>
          <w:sz w:val="32"/>
          <w:shd w:val="clear" w:color="auto" w:fill="auto"/>
          <w14:textFill>
            <w14:solidFill>
              <w14:srgbClr w14:val="000000"/>
            </w14:solidFill>
          </w14:textFill>
        </w:rPr>
        <w:t>万元，</w:t>
      </w:r>
      <w:r>
        <w:rPr>
          <w:rFonts w:ascii="Times New Roman" w:eastAsia="Times New Roman" w:cs="Times New Roman" w:hAnsi="Times New Roman"/>
          <w:color w:val="auto"/>
          <w:spacing w:val="0"/>
          <w:position w:val="0"/>
          <w:sz w:val="32"/>
          <w:shd w:val="clear" w:color="auto" w:fill="auto"/>
        </w:rPr>
        <w:t>机构编制监管支出3万元，其他支出0万元。</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3、比上年增减情况</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w:t>
      </w:r>
      <w:r>
        <w:rPr>
          <w:rFonts w:ascii="Times New Roman" w:cs="Times New Roman" w:hAnsi="Times New Roman" w:hint="eastAsia"/>
          <w:color w:val="auto"/>
          <w:spacing w:val="0"/>
          <w:position w:val="0"/>
          <w:sz w:val="32"/>
          <w:shd w:val="clear" w:color="auto" w:fill="auto"/>
          <w:lang w:eastAsia="zh-CN"/>
        </w:rPr>
        <w:t>单位</w:t>
      </w:r>
      <w:r>
        <w:rPr>
          <w:rFonts w:ascii="Times New Roman" w:eastAsia="Times New Roman" w:cs="Times New Roman" w:hAnsi="Times New Roman"/>
          <w:color w:val="auto"/>
          <w:spacing w:val="0"/>
          <w:position w:val="0"/>
          <w:sz w:val="32"/>
          <w:shd w:val="clear" w:color="auto" w:fill="auto"/>
        </w:rPr>
        <w:t>预算收支安排</w:t>
      </w:r>
      <w:r>
        <w:rPr>
          <w:rFonts w:ascii="Times New Roman" w:cs="Times New Roman" w:hAnsi="Times New Roman" w:hint="eastAsia"/>
          <w:color w:val="auto"/>
          <w:spacing w:val="0"/>
          <w:position w:val="0"/>
          <w:sz w:val="32"/>
          <w:shd w:val="clear" w:color="auto" w:fill="auto"/>
          <w:lang w:val="en-US" w:eastAsia="zh-CN"/>
        </w:rPr>
        <w:t>83.42</w:t>
      </w:r>
      <w:r>
        <w:rPr>
          <w:rFonts w:ascii="Times New Roman" w:eastAsia="Times New Roman" w:cs="Times New Roman" w:hAnsi="Times New Roman"/>
          <w:color w:val="auto"/>
          <w:spacing w:val="0"/>
          <w:position w:val="0"/>
          <w:sz w:val="32"/>
          <w:shd w:val="clear" w:color="auto" w:fill="auto"/>
        </w:rPr>
        <w:t>万元，较</w:t>
      </w:r>
      <w:r>
        <w:rPr>
          <w:rFonts w:ascii="Times New Roman" w:cs="Times New Roman" w:hAnsi="Times New Roman" w:hint="eastAsia"/>
          <w:color w:val="auto"/>
          <w:spacing w:val="0"/>
          <w:position w:val="0"/>
          <w:sz w:val="32"/>
          <w:shd w:val="clear" w:color="auto" w:fill="auto"/>
          <w:lang w:val="en-US" w:eastAsia="zh-CN"/>
        </w:rPr>
        <w:t>2020</w:t>
      </w:r>
      <w:r>
        <w:rPr>
          <w:rFonts w:ascii="Times New Roman" w:eastAsia="Times New Roman" w:cs="Times New Roman" w:hAnsi="Times New Roman"/>
          <w:color w:val="auto"/>
          <w:spacing w:val="0"/>
          <w:position w:val="0"/>
          <w:sz w:val="32"/>
          <w:shd w:val="clear" w:color="auto" w:fill="auto"/>
        </w:rPr>
        <w:t>年增加</w:t>
      </w:r>
      <w:r>
        <w:rPr>
          <w:rFonts w:ascii="Times New Roman" w:cs="Times New Roman" w:hAnsi="Times New Roman" w:hint="eastAsia"/>
          <w:color w:val="auto"/>
          <w:spacing w:val="0"/>
          <w:position w:val="0"/>
          <w:sz w:val="32"/>
          <w:shd w:val="clear" w:color="auto" w:fill="auto"/>
          <w:lang w:val="en-US" w:eastAsia="zh-CN"/>
        </w:rPr>
        <w:t>0.88</w:t>
      </w:r>
      <w:r>
        <w:rPr>
          <w:rFonts w:ascii="Times New Roman" w:eastAsia="Times New Roman" w:cs="Times New Roman" w:hAnsi="Times New Roman"/>
          <w:color w:val="auto"/>
          <w:spacing w:val="0"/>
          <w:position w:val="0"/>
          <w:sz w:val="32"/>
          <w:shd w:val="clear" w:color="auto" w:fill="auto"/>
        </w:rPr>
        <w:t>万元，其中：基本支出增加</w:t>
      </w:r>
      <w:r>
        <w:rPr>
          <w:rFonts w:ascii="Times New Roman" w:cs="Times New Roman" w:hAnsi="Times New Roman" w:hint="eastAsia"/>
          <w:color w:val="auto"/>
          <w:spacing w:val="0"/>
          <w:position w:val="0"/>
          <w:sz w:val="32"/>
          <w:shd w:val="clear" w:color="auto" w:fill="auto"/>
          <w:lang w:val="en-US" w:eastAsia="zh-CN"/>
        </w:rPr>
        <w:t>0.42</w:t>
      </w:r>
      <w:r>
        <w:rPr>
          <w:rFonts w:ascii="Times New Roman" w:eastAsia="Times New Roman" w:cs="Times New Roman" w:hAnsi="Times New Roman"/>
          <w:color w:val="auto"/>
          <w:spacing w:val="0"/>
          <w:position w:val="0"/>
          <w:sz w:val="32"/>
          <w:shd w:val="clear" w:color="auto" w:fill="auto"/>
        </w:rPr>
        <w:t>万元，主要是人员经费和日常公用经费</w:t>
      </w:r>
      <w:r>
        <w:rPr>
          <w:rFonts w:ascii="Times New Roman" w:eastAsia="Times New Roman" w:cs="Times New Roman" w:hAnsi="Times New Roman" w:hint="eastAsia"/>
          <w:color w:val="auto"/>
          <w:spacing w:val="0"/>
          <w:position w:val="0"/>
          <w:sz w:val="32"/>
          <w:shd w:val="clear" w:color="auto" w:fill="auto"/>
          <w:lang w:eastAsia="zh-CN"/>
        </w:rPr>
        <w:t>调整</w:t>
      </w:r>
      <w:r>
        <w:rPr>
          <w:rFonts w:ascii="Times New Roman" w:eastAsia="Times New Roman" w:cs="Times New Roman" w:hAnsi="Times New Roman"/>
          <w:color w:val="auto"/>
          <w:spacing w:val="0"/>
          <w:position w:val="0"/>
          <w:sz w:val="32"/>
          <w:shd w:val="clear" w:color="auto" w:fill="auto"/>
        </w:rPr>
        <w:t>；项目支出</w:t>
      </w:r>
      <w:r>
        <w:rPr>
          <w:rFonts w:ascii="Times New Roman" w:cs="Times New Roman" w:hAnsi="Times New Roman" w:hint="eastAsia"/>
          <w:color w:val="auto"/>
          <w:spacing w:val="0"/>
          <w:position w:val="0"/>
          <w:sz w:val="32"/>
          <w:shd w:val="clear" w:color="auto" w:fill="auto"/>
          <w:lang w:eastAsia="zh-CN"/>
        </w:rPr>
        <w:t>增加</w:t>
      </w:r>
      <w:r>
        <w:rPr>
          <w:rFonts w:ascii="Times New Roman" w:cs="Times New Roman" w:hAnsi="Times New Roman" w:hint="eastAsia"/>
          <w:color w:val="auto"/>
          <w:spacing w:val="0"/>
          <w:position w:val="0"/>
          <w:sz w:val="32"/>
          <w:shd w:val="clear" w:color="auto" w:fill="auto"/>
          <w:lang w:val="en-US" w:eastAsia="zh-CN"/>
        </w:rPr>
        <w:t>0.46</w:t>
      </w:r>
      <w:r>
        <w:rPr>
          <w:rFonts w:ascii="Times New Roman" w:eastAsia="Times New Roman" w:cs="Times New Roman" w:hAnsi="Times New Roman"/>
          <w:color w:val="auto"/>
          <w:spacing w:val="0"/>
          <w:position w:val="0"/>
          <w:sz w:val="32"/>
          <w:shd w:val="clear" w:color="auto" w:fill="auto"/>
        </w:rPr>
        <w:t>万元，</w:t>
      </w:r>
      <w:r>
        <w:rPr>
          <w:rFonts w:ascii="Times New Roman" w:eastAsia="Times New Roman" w:cs="Times New Roman" w:hAnsi="Times New Roman" w:hint="eastAsia"/>
          <w:color w:val="auto"/>
          <w:spacing w:val="0"/>
          <w:position w:val="0"/>
          <w:sz w:val="32"/>
          <w:shd w:val="clear" w:color="auto" w:fill="auto"/>
          <w:lang w:eastAsia="zh-CN"/>
        </w:rPr>
        <w:t>主要是项目调整</w:t>
      </w:r>
      <w:r>
        <w:rPr>
          <w:rFonts w:ascii="Times New Roman" w:eastAsia="Times New Roman" w:cs="Times New Roman" w:hAnsi="Times New Roman"/>
          <w:color w:val="auto"/>
          <w:spacing w:val="0"/>
          <w:position w:val="0"/>
          <w:sz w:val="32"/>
          <w:shd w:val="clear" w:color="auto" w:fill="auto"/>
        </w:rPr>
        <w:t>；其他支出无增减变化。</w:t>
      </w:r>
    </w:p>
    <w:p>
      <w:pPr>
        <w:spacing w:before="0" w:after="0" w:line="240" w:lineRule="auto"/>
        <w:ind w:left="0" w:right="0" w:firstLine="96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三、机关运行经费安排情况</w:t>
      </w:r>
    </w:p>
    <w:p>
      <w:pPr>
        <w:spacing w:before="0" w:after="0" w:line="240" w:lineRule="auto"/>
        <w:ind w:left="198" w:right="0" w:firstLine="640"/>
        <w:jc w:val="left"/>
        <w:rPr>
          <w:rFonts w:ascii="Times New Roman" w:eastAsia="Times New Roman" w:cs="Times New Roman" w:hAnsi="Times New Roman"/>
          <w:color w:val="000000"/>
          <w:spacing w:val="0"/>
          <w:position w:val="0"/>
          <w:sz w:val="32"/>
          <w:shd w:val="clear" w:color="auto" w:fill="auto"/>
          <w14:textFill>
            <w14:solidFill>
              <w14:srgbClr w14:val="000000"/>
            </w14:solidFill>
          </w14:textFill>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年，我</w:t>
      </w:r>
      <w:r>
        <w:rPr>
          <w:rFonts w:ascii="Times New Roman" w:cs="Times New Roman" w:hAnsi="Times New Roman" w:hint="eastAsia"/>
          <w:color w:val="auto"/>
          <w:spacing w:val="0"/>
          <w:position w:val="0"/>
          <w:sz w:val="32"/>
          <w:shd w:val="clear" w:color="auto" w:fill="auto"/>
          <w:lang w:eastAsia="zh-CN"/>
        </w:rPr>
        <w:t>单位</w:t>
      </w:r>
      <w:r>
        <w:rPr>
          <w:rFonts w:ascii="Times New Roman" w:eastAsia="Times New Roman" w:cs="Times New Roman" w:hAnsi="Times New Roman"/>
          <w:color w:val="auto"/>
          <w:spacing w:val="0"/>
          <w:position w:val="0"/>
          <w:sz w:val="32"/>
          <w:shd w:val="clear" w:color="auto" w:fill="auto"/>
        </w:rPr>
        <w:t>机关运行经费共计安排</w:t>
      </w:r>
      <w:r>
        <w:rPr>
          <w:rFonts w:ascii="Times New Roman" w:cs="Times New Roman" w:hAnsi="Times New Roman" w:hint="eastAsia"/>
          <w:color w:val="auto"/>
          <w:spacing w:val="0"/>
          <w:position w:val="0"/>
          <w:sz w:val="32"/>
          <w:shd w:val="clear" w:color="auto" w:fill="auto"/>
          <w:lang w:val="en-US" w:eastAsia="zh-CN"/>
        </w:rPr>
        <w:t>6.86</w:t>
      </w:r>
      <w:r>
        <w:rPr>
          <w:rFonts w:ascii="Times New Roman" w:eastAsia="Times New Roman" w:cs="Times New Roman" w:hAnsi="Times New Roman"/>
          <w:color w:val="auto"/>
          <w:spacing w:val="0"/>
          <w:position w:val="0"/>
          <w:sz w:val="32"/>
          <w:shd w:val="clear" w:color="auto" w:fill="auto"/>
        </w:rPr>
        <w:t>万元，主要用于保证机关正常运转的</w:t>
      </w:r>
      <w:r>
        <w:rPr>
          <w:rFonts w:ascii="Times New Roman" w:eastAsia="Times New Roman" w:cs="Times New Roman" w:hAnsi="Times New Roman" w:hint="eastAsia"/>
          <w:color w:val="auto"/>
          <w:spacing w:val="0"/>
          <w:position w:val="0"/>
          <w:sz w:val="32"/>
          <w:shd w:val="clear" w:color="auto" w:fill="auto"/>
        </w:rPr>
        <w:t>办公费</w:t>
      </w:r>
      <w:r>
        <w:rPr>
          <w:rFonts w:ascii="Times New Roman" w:cs="Times New Roman" w:hAnsi="Times New Roman" w:hint="eastAsia"/>
          <w:color w:val="auto"/>
          <w:spacing w:val="0"/>
          <w:position w:val="0"/>
          <w:sz w:val="32"/>
          <w:shd w:val="clear" w:color="auto" w:fill="auto"/>
          <w:lang w:eastAsia="zh-CN"/>
        </w:rPr>
        <w:t>、其他交通费用、其他商品和服务支出</w:t>
      </w:r>
      <w:r>
        <w:rPr>
          <w:rFonts w:ascii="Times New Roman" w:eastAsia="Times New Roman" w:cs="Times New Roman" w:hAnsi="Times New Roman"/>
          <w:color w:val="auto"/>
          <w:spacing w:val="0"/>
          <w:position w:val="0"/>
          <w:sz w:val="32"/>
          <w:shd w:val="clear" w:color="auto" w:fill="auto"/>
        </w:rPr>
        <w:t>等支出。</w:t>
      </w:r>
    </w:p>
    <w:p>
      <w:pPr>
        <w:spacing w:before="0" w:after="0" w:line="240" w:lineRule="auto"/>
        <w:ind w:left="198"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四、财政拨款“三公”经费预算情况及增减变化原因</w:t>
      </w:r>
    </w:p>
    <w:p>
      <w:pPr>
        <w:spacing w:before="0" w:after="0" w:line="240" w:lineRule="auto"/>
        <w:ind w:left="198" w:right="0" w:firstLine="640"/>
        <w:jc w:val="left"/>
        <w:rPr>
          <w:rFonts w:ascii="Times New Roman" w:eastAsia="Times New Roman" w:cs="Times New Roman" w:hAnsi="Times New Roman" w:hint="eastAsia"/>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202</w:t>
      </w:r>
      <w:r>
        <w:rPr>
          <w:rFonts w:ascii="Times New Roman" w:cs="Times New Roman" w:hAnsi="Times New Roman" w:hint="eastAsia"/>
          <w:color w:val="auto"/>
          <w:spacing w:val="0"/>
          <w:position w:val="0"/>
          <w:sz w:val="32"/>
          <w:shd w:val="clear" w:color="auto" w:fill="auto"/>
          <w:lang w:val="en-US" w:eastAsia="zh-CN"/>
        </w:rPr>
        <w:t>1</w:t>
      </w:r>
      <w:r>
        <w:rPr>
          <w:rFonts w:ascii="Times New Roman" w:eastAsia="Times New Roman" w:cs="Times New Roman" w:hAnsi="Times New Roman"/>
          <w:color w:val="auto"/>
          <w:spacing w:val="0"/>
          <w:position w:val="0"/>
          <w:sz w:val="32"/>
          <w:shd w:val="clear" w:color="auto" w:fill="auto"/>
        </w:rPr>
        <w:t>年，我</w:t>
      </w:r>
      <w:r>
        <w:rPr>
          <w:rFonts w:ascii="Times New Roman" w:cs="Times New Roman" w:hAnsi="Times New Roman" w:hint="eastAsia"/>
          <w:color w:val="auto"/>
          <w:spacing w:val="0"/>
          <w:position w:val="0"/>
          <w:sz w:val="32"/>
          <w:shd w:val="clear" w:color="auto" w:fill="auto"/>
          <w:lang w:eastAsia="zh-CN"/>
        </w:rPr>
        <w:t>单位</w:t>
      </w:r>
      <w:r>
        <w:rPr>
          <w:rFonts w:ascii="Times New Roman" w:eastAsia="Times New Roman" w:cs="Times New Roman" w:hAnsi="Times New Roman"/>
          <w:color w:val="auto"/>
          <w:spacing w:val="0"/>
          <w:position w:val="0"/>
          <w:sz w:val="32"/>
          <w:shd w:val="clear" w:color="auto" w:fill="auto"/>
        </w:rPr>
        <w:t>财政拨款“三公”经费预算安排0万元，</w:t>
      </w:r>
      <w:r>
        <w:rPr>
          <w:rFonts w:ascii="Times New Roman" w:cs="Times New Roman" w:hAnsi="Times New Roman" w:hint="eastAsia"/>
          <w:color w:val="auto"/>
          <w:spacing w:val="0"/>
          <w:position w:val="0"/>
          <w:sz w:val="32"/>
          <w:shd w:val="clear" w:color="auto" w:fill="auto"/>
          <w:lang w:val="en-US" w:eastAsia="zh-CN"/>
        </w:rPr>
        <w:t>与上年持平，无增减变化</w:t>
      </w:r>
      <w:r>
        <w:rPr>
          <w:rFonts w:ascii="Times New Roman" w:eastAsia="仿宋" w:cs="Times New Roman" w:hAnsi="Times New Roman" w:hint="eastAsia"/>
          <w:sz w:val="32"/>
          <w:szCs w:val="32"/>
        </w:rPr>
        <w:t>。</w:t>
      </w:r>
      <w:r>
        <w:rPr>
          <w:rFonts w:ascii="Times New Roman" w:eastAsia="Times New Roman" w:cs="Times New Roman" w:hAnsi="Times New Roman"/>
          <w:color w:val="auto"/>
          <w:spacing w:val="0"/>
          <w:position w:val="0"/>
          <w:sz w:val="32"/>
          <w:shd w:val="clear" w:color="auto" w:fill="auto"/>
        </w:rPr>
        <w:t>其中：因公出国（境）费0万元</w:t>
      </w:r>
      <w:r>
        <w:rPr>
          <w:rFonts w:ascii="Times New Roman" w:cs="Times New Roman" w:hAnsi="Times New Roman" w:hint="eastAsia"/>
          <w:color w:val="auto"/>
          <w:spacing w:val="0"/>
          <w:position w:val="0"/>
          <w:sz w:val="32"/>
          <w:shd w:val="clear" w:color="auto" w:fill="auto"/>
          <w:lang w:eastAsia="zh-CN"/>
        </w:rPr>
        <w:t>，</w:t>
      </w:r>
      <w:r>
        <w:rPr>
          <w:rFonts w:ascii="Times New Roman" w:cs="Times New Roman" w:hAnsi="Times New Roman" w:hint="eastAsia"/>
          <w:color w:val="auto"/>
          <w:spacing w:val="0"/>
          <w:position w:val="0"/>
          <w:sz w:val="32"/>
          <w:shd w:val="clear" w:color="auto" w:fill="auto"/>
          <w:lang w:val="en-US" w:eastAsia="zh-CN"/>
        </w:rPr>
        <w:t>与上年持平，无增减变化，主要原因为年初没有安排因公出国费</w:t>
      </w:r>
      <w:r>
        <w:rPr>
          <w:rFonts w:ascii="Times New Roman" w:eastAsia="Times New Roman" w:cs="Times New Roman" w:hAnsi="Times New Roman"/>
          <w:color w:val="auto"/>
          <w:spacing w:val="0"/>
          <w:position w:val="0"/>
          <w:sz w:val="32"/>
          <w:shd w:val="clear" w:color="auto" w:fill="auto"/>
        </w:rPr>
        <w:t>；公务用车购置及运维费0万元（其中：公务用车购置费0万元，公务用车运行维护费0万元)</w:t>
      </w:r>
      <w:r>
        <w:rPr>
          <w:rFonts w:ascii="Times New Roman" w:cs="Times New Roman" w:hAnsi="Times New Roman" w:hint="eastAsia"/>
          <w:color w:val="auto"/>
          <w:spacing w:val="0"/>
          <w:position w:val="0"/>
          <w:sz w:val="32"/>
          <w:shd w:val="clear" w:color="auto" w:fill="auto"/>
          <w:lang w:eastAsia="zh-CN"/>
        </w:rPr>
        <w:t>，与上年持平，无增减变化，主要原因为年初没有安排</w:t>
      </w:r>
      <w:r>
        <w:rPr>
          <w:rFonts w:ascii="Times New Roman" w:eastAsia="Times New Roman" w:cs="Times New Roman" w:hAnsi="Times New Roman"/>
          <w:color w:val="auto"/>
          <w:spacing w:val="0"/>
          <w:position w:val="0"/>
          <w:sz w:val="32"/>
          <w:shd w:val="clear" w:color="auto" w:fill="auto"/>
        </w:rPr>
        <w:t>公务用车购置及公务用车运行维护费；公务接待费0万元</w:t>
      </w:r>
      <w:r>
        <w:rPr>
          <w:rFonts w:ascii="Times New Roman" w:eastAsia="Times New Roman" w:cs="Times New Roman" w:hAnsi="Times New Roman" w:hint="eastAsia"/>
          <w:color w:val="auto"/>
          <w:spacing w:val="0"/>
          <w:position w:val="0"/>
          <w:sz w:val="32"/>
          <w:shd w:val="clear" w:color="auto" w:fill="auto"/>
        </w:rPr>
        <w:t>，与上年持平，无增减变化，主要原因为年初没有安排公务接待费。</w:t>
      </w:r>
    </w:p>
    <w:p>
      <w:pPr>
        <w:spacing w:before="0" w:after="0" w:line="240" w:lineRule="auto"/>
        <w:ind w:left="198"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五、预算绩效信息</w:t>
      </w:r>
    </w:p>
    <w:p>
      <w:pPr>
        <w:ind w:firstLineChars="200" w:firstLine="560"/>
        <w:jc w:val="left"/>
        <w:outlineLvl w:val="3"/>
        <w:rPr>
          <w:rFonts w:hAnsi="宋体"/>
          <w:b/>
          <w:sz w:val="28"/>
        </w:rPr>
      </w:pPr>
      <w:bookmarkStart w:id="1" w:name="_Toc67036503"/>
      <w:r>
        <w:rPr>
          <w:rFonts w:ascii="方正仿宋_GBK" w:eastAsia="方正仿宋_GBK" w:hint="eastAsia"/>
          <w:b/>
          <w:sz w:val="28"/>
        </w:rPr>
        <w:t>1.机构编制监管绩效目标表</w:t>
      </w:r>
      <w:bookmarkEnd w:id="1"/>
      <w:r>
        <w:rPr>
          <w:rFonts w:ascii="方正仿宋_GBK" w:eastAsia="方正仿宋_GBK"/>
          <w:b/>
          <w:vanish/>
          <w:sz w:val="28"/>
        </w:rPr>
        <w:t xml:space="preserve">{ </w:t>
      </w:r>
      <w:r>
        <w:rPr>
          <w:rFonts w:ascii="方正仿宋_GBK" w:eastAsia="方正仿宋_GBK" w:hint="eastAsia"/>
          <w:b/>
          <w:vanish/>
          <w:sz w:val="28"/>
        </w:rPr>
        <w:t>TC 1、机构编制监管绩效目标表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6577"/>
        <w:gridCol w:w="1701"/>
      </w:tblGrid>
      <w:tr>
        <w:trPr>
          <w:trHeight w:val="397"/>
        </w:trPr>
        <w:tc>
          <w:tcPr>
            <w:tcW w:w="7711" w:type="dxa"/>
            <w:gridSpan w:val="2"/>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书宋_GBK" w:eastAsia="方正书宋_GBK" w:hint="eastAsia"/>
                <w:b/>
              </w:rPr>
            </w:pPr>
            <w:r>
              <w:rPr>
                <w:rFonts w:ascii="方正书宋_GBK" w:eastAsia="方正书宋_GBK"/>
                <w:b/>
              </w:rPr>
              <w:t>225001</w:t>
            </w:r>
            <w:r>
              <w:rPr>
                <w:rFonts w:ascii="方正书宋_GBK" w:eastAsia="方正书宋_GBK" w:hint="eastAsia"/>
                <w:b/>
              </w:rPr>
              <w:t>中共深泽县委机构编制委员会办公室本级</w:t>
            </w:r>
          </w:p>
          <w:p>
            <w:pPr>
              <w:spacing w:line="300" w:lineRule="exact"/>
              <w:jc w:val="left"/>
              <w:rPr>
                <w:rFonts w:ascii="方正书宋_GBK" w:eastAsia="方正书宋_GBK" w:hint="eastAsia"/>
                <w:b/>
              </w:rPr>
            </w:pPr>
          </w:p>
        </w:tc>
        <w:tc>
          <w:tcPr>
            <w:tcW w:w="1701" w:type="dxa"/>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rPr>
            </w:pPr>
          </w:p>
        </w:tc>
      </w:tr>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机构改革工作、综合事务管理、全县事业单位法人事中事后监管、机构编制信息平台运行</w:t>
            </w:r>
          </w:p>
        </w:tc>
      </w:tr>
    </w:tbl>
    <w:p>
      <w:pPr>
        <w:spacing w:line="14" w:lineRule="exact"/>
        <w:jc w:val="center"/>
        <w:rPr>
          <w:rFonts w:hAnsi="宋体"/>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各项改革工作完成率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各项改革工作完成率目标完成率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事业单位法人事中事后监管</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全县事业单位法人事中事后监管目标完成率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机构编制信息平台运行目标完成率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机构编制信息平台运行目标完成率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项目总成本</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年度的安排成本</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工作提升</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提高工作效率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提高机构编制监管水平</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服务对象满意的程度</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2020</w:t>
            </w:r>
            <w:r>
              <w:rPr>
                <w:rFonts w:ascii="方正书宋_GBK" w:eastAsia="方正书宋_GBK" w:hint="eastAsia"/>
              </w:rPr>
              <w:t>】</w:t>
            </w:r>
            <w:r>
              <w:rPr>
                <w:rFonts w:ascii="方正书宋_GBK" w:eastAsia="方正书宋_GBK"/>
              </w:rPr>
              <w:t>5</w:t>
            </w:r>
            <w:r>
              <w:rPr>
                <w:rFonts w:ascii="方正书宋_GBK" w:eastAsia="方正书宋_GBK" w:hint="eastAsia"/>
              </w:rPr>
              <w:t>号</w:t>
            </w:r>
          </w:p>
        </w:tc>
      </w:tr>
    </w:tbl>
    <w:p>
      <w:pPr>
        <w:spacing w:line="300" w:lineRule="exact"/>
        <w:jc w:val="left"/>
        <w:sectPr>
          <w:pgSz w:w="11907" w:h="16839"/>
          <w:pgMar w:top="1984" w:right="1304" w:bottom="1134" w:left="1304" w:header="851" w:footer="992" w:gutter="0"/>
          <w:docGrid w:type="lines" w:linePitch="312" w:charSpace="0"/>
        </w:sectPr>
      </w:pPr>
    </w:p>
    <w:p>
      <w:pPr>
        <w:spacing w:before="0" w:after="0" w:line="240" w:lineRule="auto"/>
        <w:ind w:left="0" w:right="0" w:firstLine="420"/>
        <w:jc w:val="center"/>
        <w:rPr>
          <w:rFonts w:ascii="Times New Roman" w:eastAsia="Times New Roman" w:cs="Times New Roman" w:hAnsi="Times New Roman"/>
          <w:color w:val="auto"/>
          <w:spacing w:val="0"/>
          <w:position w:val="0"/>
          <w:sz w:val="21"/>
          <w:shd w:val="clear" w:color="auto" w:fill="auto"/>
        </w:rPr>
      </w:pPr>
      <w:r>
        <w:rPr>
          <w:rFonts w:ascii="方正书宋_GBK" w:eastAsia="方正书宋_GBK" w:cs="方正书宋_GBK" w:hAnsi="方正书宋_GBK"/>
          <w:color w:val="auto"/>
          <w:spacing w:val="0"/>
          <w:position w:val="0"/>
          <w:sz w:val="21"/>
          <w:shd w:val="clear" w:color="auto" w:fill="auto"/>
        </w:rPr>
        <w:t xml:space="preserve"> </w:t>
      </w:r>
    </w:p>
    <w:p>
      <w:pPr>
        <w:spacing w:before="0" w:after="0" w:line="300" w:lineRule="auto"/>
        <w:ind w:right="0"/>
        <w:jc w:val="left"/>
        <w:rPr>
          <w:rFonts w:ascii="Calibri" w:eastAsia="Calibri" w:cs="Calibri" w:hAnsi="Calibri"/>
          <w:color w:val="auto"/>
          <w:spacing w:val="0"/>
          <w:position w:val="0"/>
          <w:sz w:val="21"/>
          <w:shd w:val="clear" w:color="auto" w:fill="auto"/>
        </w:rPr>
      </w:pPr>
    </w:p>
    <w:p>
      <w:pPr>
        <w:spacing w:before="0" w:after="0" w:line="300" w:lineRule="auto"/>
        <w:ind w:right="0"/>
        <w:jc w:val="left"/>
        <w:rPr>
          <w:rFonts w:ascii="Calibri" w:eastAsia="Calibri" w:cs="Calibri" w:hAnsi="Calibri"/>
          <w:color w:val="auto"/>
          <w:spacing w:val="0"/>
          <w:position w:val="0"/>
          <w:sz w:val="21"/>
          <w:shd w:val="clear" w:color="auto" w:fill="auto"/>
        </w:rPr>
      </w:pPr>
    </w:p>
    <w:p>
      <w:pPr>
        <w:ind w:firstLineChars="200" w:firstLine="560"/>
        <w:jc w:val="left"/>
        <w:outlineLvl w:val="3"/>
        <w:rPr>
          <w:rFonts w:hAnsi="宋体"/>
          <w:b/>
          <w:sz w:val="28"/>
        </w:rPr>
      </w:pPr>
      <w:bookmarkStart w:id="2" w:name="_Toc67036504"/>
      <w:r>
        <w:rPr>
          <w:rFonts w:ascii="方正仿宋_GBK" w:eastAsia="方正仿宋_GBK" w:hint="eastAsia"/>
          <w:b/>
          <w:sz w:val="28"/>
        </w:rPr>
        <w:t>2.党政机关、事业单位中文域名注册费绩效目标表</w:t>
      </w:r>
      <w:bookmarkEnd w:id="2"/>
      <w:r>
        <w:rPr>
          <w:rFonts w:ascii="方正仿宋_GBK" w:eastAsia="方正仿宋_GBK"/>
          <w:b/>
          <w:vanish/>
          <w:sz w:val="28"/>
        </w:rPr>
        <w:t xml:space="preserve">{ </w:t>
      </w:r>
      <w:r>
        <w:rPr>
          <w:rFonts w:ascii="方正仿宋_GBK" w:eastAsia="方正仿宋_GBK" w:hint="eastAsia"/>
          <w:b/>
          <w:vanish/>
          <w:sz w:val="28"/>
        </w:rPr>
        <w:t>TC 2、党政机关、事业单位中文域名注册费绩效目标表 \f C \l 1</w:t>
      </w:r>
      <w:r>
        <w:rPr>
          <w:rFonts w:ascii="方正仿宋_GBK" w:eastAsia="方正仿宋_GBK"/>
          <w:b/>
          <w:vanish/>
          <w:sz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6577"/>
        <w:gridCol w:w="1701"/>
      </w:tblGrid>
      <w:tr>
        <w:trPr>
          <w:trHeight w:val="397"/>
        </w:trPr>
        <w:tc>
          <w:tcPr>
            <w:tcW w:w="7711" w:type="dxa"/>
            <w:gridSpan w:val="2"/>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书宋_GBK" w:eastAsia="方正书宋_GBK" w:hint="eastAsia"/>
                <w:b/>
              </w:rPr>
            </w:pPr>
            <w:r>
              <w:rPr>
                <w:rFonts w:ascii="方正书宋_GBK" w:eastAsia="方正书宋_GBK"/>
                <w:b/>
              </w:rPr>
              <w:t>225001</w:t>
            </w:r>
            <w:r>
              <w:rPr>
                <w:rFonts w:ascii="方正书宋_GBK" w:eastAsia="方正书宋_GBK" w:hint="eastAsia"/>
                <w:b/>
              </w:rPr>
              <w:t>中共深泽县委机构编制委员会办公室本级</w:t>
            </w:r>
          </w:p>
          <w:p>
            <w:pPr>
              <w:spacing w:line="300" w:lineRule="exact"/>
              <w:jc w:val="left"/>
              <w:rPr>
                <w:rFonts w:ascii="方正书宋_GBK" w:eastAsia="方正书宋_GBK" w:hint="eastAsia"/>
                <w:b/>
              </w:rPr>
            </w:pPr>
          </w:p>
          <w:p>
            <w:pPr>
              <w:spacing w:line="300" w:lineRule="exact"/>
              <w:jc w:val="left"/>
              <w:rPr>
                <w:rFonts w:ascii="方正书宋_GBK" w:eastAsia="方正书宋_GBK" w:hint="eastAsia"/>
                <w:b/>
              </w:rPr>
            </w:pPr>
          </w:p>
        </w:tc>
        <w:tc>
          <w:tcPr>
            <w:tcW w:w="1701" w:type="dxa"/>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书宋_GBK" w:eastAsia="方正书宋_GBK"/>
              </w:rPr>
            </w:pPr>
          </w:p>
        </w:tc>
      </w:tr>
      <w:tr>
        <w:trPr>
          <w:trHeight w:val="369"/>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党政机关、事业单位中文域名注册</w:t>
            </w:r>
          </w:p>
        </w:tc>
      </w:tr>
    </w:tbl>
    <w:p>
      <w:pPr>
        <w:spacing w:line="14" w:lineRule="exact"/>
        <w:jc w:val="center"/>
        <w:rPr>
          <w:rFonts w:hAnsi="宋体"/>
        </w:rPr>
      </w:pPr>
      <w:r>
        <w:rPr>
          <w:rFonts w:ascii="方正书宋_GBK" w:eastAsia="方正书宋_GBK"/>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397"/>
          <w:tblHeader/>
        </w:trPr>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1134" w:type="dxa"/>
            <w:vMerge w:val="restart"/>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党政事业单位中文域名</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党政机关、事业单位中文域名注册目标完成率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273</w:t>
            </w:r>
            <w:r>
              <w:rPr>
                <w:rFonts w:ascii="方正书宋_GBK" w:eastAsia="方正书宋_GBK" w:hint="eastAsia"/>
              </w:rPr>
              <w:t>个</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质量指标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推进电子政务建设</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推进电子政务建设</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时效指标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按政策</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按政策</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vMerge/>
            <w:tcBorders>
              <w:top w:val="single" w:sz="6" w:space="0" w:color="000000"/>
              <w:left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成本指标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项目成本</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项目成本</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5.46</w:t>
            </w:r>
            <w:r>
              <w:rPr>
                <w:rFonts w:ascii="方正书宋_GBK" w:eastAsia="方正书宋_GBK" w:hint="eastAsia"/>
              </w:rPr>
              <w:t>万元</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效益指标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可持续影响指标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保护机关事业单位网上合法权益</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保护机关事业单位网上合法权益</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r>
        <w:trPr>
          <w:cantSplit/>
          <w:trHeight w:val="369"/>
        </w:trPr>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党政机关、事业单位</w:t>
            </w:r>
          </w:p>
        </w:tc>
        <w:tc>
          <w:tcPr>
            <w:tcW w:w="289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rPr>
            </w:pPr>
            <w:r>
              <w:rPr>
                <w:rFonts w:ascii="方正书宋_GBK" w:eastAsia="方正书宋_GBK" w:hint="eastAsia"/>
              </w:rPr>
              <w:t>党政机关、事业单位中文域名保护机关事业单位网上合法权益</w:t>
            </w:r>
          </w:p>
        </w:tc>
        <w:tc>
          <w:tcPr>
            <w:tcW w:w="1276"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1701" w:type="dxa"/>
            <w:tcBorders>
              <w:top w:val="single" w:sz="6" w:space="0" w:color="000000"/>
              <w:left w:val="single" w:sz="6" w:space="0" w:color="000000"/>
              <w:right w:val="single" w:sz="6" w:space="0" w:color="000000"/>
            </w:tcBorders>
            <w:shd w:val="clear" w:color="auto" w:fill="auto"/>
            <w:vAlign w:val="center"/>
          </w:tcPr>
          <w:p>
            <w:pPr>
              <w:spacing w:line="300" w:lineRule="exact"/>
              <w:jc w:val="left"/>
              <w:rPr>
                <w:rFonts w:ascii="方正书宋_GBK" w:eastAsia="方正书宋_GBK" w:hint="eastAsia"/>
              </w:rPr>
            </w:pPr>
            <w:r>
              <w:rPr>
                <w:rFonts w:ascii="方正书宋_GBK" w:eastAsia="方正书宋_GBK" w:hint="eastAsia"/>
              </w:rPr>
              <w:t>石机编办【</w:t>
            </w:r>
            <w:r>
              <w:rPr>
                <w:rFonts w:ascii="方正书宋_GBK" w:eastAsia="方正书宋_GBK"/>
              </w:rPr>
              <w:t>2016</w:t>
            </w:r>
            <w:r>
              <w:rPr>
                <w:rFonts w:ascii="方正书宋_GBK" w:eastAsia="方正书宋_GBK" w:hint="eastAsia"/>
              </w:rPr>
              <w:t>】</w:t>
            </w:r>
            <w:r>
              <w:rPr>
                <w:rFonts w:ascii="方正书宋_GBK" w:eastAsia="方正书宋_GBK"/>
              </w:rPr>
              <w:t>85</w:t>
            </w:r>
            <w:r>
              <w:rPr>
                <w:rFonts w:ascii="方正书宋_GBK" w:eastAsia="方正书宋_GBK" w:hint="eastAsia"/>
              </w:rPr>
              <w:t>号</w:t>
            </w:r>
          </w:p>
        </w:tc>
      </w:tr>
    </w:tbl>
    <w:p>
      <w:pPr>
        <w:spacing w:before="0" w:after="0" w:line="300" w:lineRule="auto"/>
        <w:ind w:right="0"/>
        <w:jc w:val="left"/>
        <w:rPr>
          <w:rFonts w:ascii="Calibri" w:eastAsia="Calibri" w:cs="Calibri" w:hAnsi="Calibri"/>
          <w:color w:val="auto"/>
          <w:spacing w:val="0"/>
          <w:position w:val="0"/>
          <w:sz w:val="21"/>
          <w:shd w:val="clear" w:color="auto" w:fill="auto"/>
        </w:rPr>
      </w:pPr>
    </w:p>
    <w:p>
      <w:pPr>
        <w:autoSpaceDE w:val="0"/>
        <w:autoSpaceDN w:val="0"/>
        <w:adjustRightInd w:val="0"/>
        <w:ind w:firstLineChars="300" w:firstLine="960"/>
        <w:jc w:val="left"/>
        <w:rPr>
          <w:rFonts w:ascii="黑体" w:eastAsia="黑体" w:cs="Times New Roman" w:hAnsi="黑体" w:hint="eastAsia"/>
          <w:sz w:val="32"/>
          <w:szCs w:val="32"/>
        </w:rPr>
      </w:pPr>
    </w:p>
    <w:p>
      <w:pPr>
        <w:autoSpaceDE w:val="0"/>
        <w:autoSpaceDN w:val="0"/>
        <w:adjustRightInd w:val="0"/>
        <w:jc w:val="left"/>
        <w:rPr>
          <w:rFonts w:ascii="黑体" w:eastAsia="黑体" w:cs="Times New Roman" w:hAnsi="黑体" w:hint="eastAsia"/>
          <w:sz w:val="32"/>
          <w:szCs w:val="32"/>
        </w:rPr>
        <w:sectPr>
          <w:footerReference w:type="default" r:id="rId2"/>
          <w:pgSz w:w="11906" w:h="16838"/>
          <w:pgMar w:top="1440" w:right="1800" w:bottom="1440" w:left="1800" w:header="851" w:footer="992" w:gutter="0"/>
          <w:rtlGutter/>
          <w:docGrid w:type="lines" w:linePitch="312" w:charSpace="0"/>
        </w:sectPr>
      </w:pPr>
    </w:p>
    <w:p>
      <w:pPr>
        <w:spacing w:before="0" w:after="0" w:line="240" w:lineRule="auto"/>
        <w:ind w:left="0" w:right="0" w:firstLine="96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六、政府采购预算情况</w:t>
      </w: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r>
        <w:rPr>
          <w:rFonts w:ascii="Times New Roman" w:eastAsia="宋体" w:cs="Times New Roman" w:hAnsi="Times New Roman" w:hint="eastAsia"/>
          <w:color w:val="000000"/>
          <w:spacing w:val="0"/>
          <w:position w:val="0"/>
          <w:sz w:val="32"/>
          <w:shd w:val="clear" w:color="auto" w:fill="auto"/>
          <w:lang w:eastAsia="zh-CN"/>
        </w:rPr>
        <w:t xml:space="preserve"> 202</w:t>
      </w:r>
      <w:r>
        <w:rPr>
          <w:rFonts w:ascii="Times New Roman" w:cs="Times New Roman" w:hAnsi="Times New Roman" w:hint="eastAsia"/>
          <w:color w:val="000000"/>
          <w:spacing w:val="0"/>
          <w:position w:val="0"/>
          <w:sz w:val="32"/>
          <w:shd w:val="clear" w:color="auto" w:fill="auto"/>
          <w:lang w:val="en-US" w:eastAsia="zh-CN"/>
        </w:rPr>
        <w:t>1</w:t>
      </w:r>
      <w:r>
        <w:rPr>
          <w:rFonts w:ascii="Times New Roman" w:eastAsia="宋体" w:cs="Times New Roman" w:hAnsi="Times New Roman" w:hint="eastAsia"/>
          <w:color w:val="000000"/>
          <w:spacing w:val="0"/>
          <w:position w:val="0"/>
          <w:sz w:val="32"/>
          <w:shd w:val="clear" w:color="auto" w:fill="auto"/>
          <w:lang w:eastAsia="zh-CN"/>
        </w:rPr>
        <w:t>年，我</w:t>
      </w:r>
      <w:r>
        <w:rPr>
          <w:rFonts w:ascii="Times New Roman" w:cs="Times New Roman" w:hAnsi="Times New Roman" w:hint="eastAsia"/>
          <w:color w:val="000000"/>
          <w:spacing w:val="0"/>
          <w:position w:val="0"/>
          <w:sz w:val="32"/>
          <w:shd w:val="clear" w:color="auto" w:fill="auto"/>
          <w:lang w:eastAsia="zh-CN"/>
        </w:rPr>
        <w:t>单位没有</w:t>
      </w:r>
      <w:r>
        <w:rPr>
          <w:rFonts w:ascii="Times New Roman" w:eastAsia="宋体" w:cs="Times New Roman" w:hAnsi="Times New Roman" w:hint="eastAsia"/>
          <w:color w:val="000000"/>
          <w:spacing w:val="0"/>
          <w:position w:val="0"/>
          <w:sz w:val="32"/>
          <w:shd w:val="clear" w:color="auto" w:fill="auto"/>
          <w:lang w:eastAsia="zh-CN"/>
        </w:rPr>
        <w:t>安排</w:t>
      </w:r>
      <w:r>
        <w:rPr>
          <w:rFonts w:ascii="Times New Roman" w:cs="Times New Roman" w:hAnsi="Times New Roman" w:hint="eastAsia"/>
          <w:color w:val="000000"/>
          <w:spacing w:val="0"/>
          <w:position w:val="0"/>
          <w:sz w:val="32"/>
          <w:shd w:val="clear" w:color="auto" w:fill="auto"/>
          <w:lang w:eastAsia="zh-CN"/>
        </w:rPr>
        <w:t>政府采购预算，</w:t>
      </w:r>
      <w:r>
        <w:rPr>
          <w:rFonts w:ascii="Times New Roman" w:eastAsia="宋体" w:cs="Times New Roman" w:hAnsi="Times New Roman" w:hint="eastAsia"/>
          <w:color w:val="000000"/>
          <w:spacing w:val="0"/>
          <w:position w:val="0"/>
          <w:sz w:val="32"/>
          <w:shd w:val="clear" w:color="auto" w:fill="auto"/>
          <w:lang w:eastAsia="zh-CN"/>
        </w:rPr>
        <w:t>政府采购预算</w:t>
      </w:r>
      <w:r>
        <w:rPr>
          <w:rFonts w:ascii="Times New Roman" w:cs="Times New Roman" w:hAnsi="Times New Roman" w:hint="eastAsia"/>
          <w:color w:val="000000"/>
          <w:spacing w:val="0"/>
          <w:position w:val="0"/>
          <w:sz w:val="32"/>
          <w:shd w:val="clear" w:color="auto" w:fill="auto"/>
          <w:lang w:eastAsia="zh-CN"/>
        </w:rPr>
        <w:t>金额为</w:t>
      </w:r>
      <w:r>
        <w:rPr>
          <w:rFonts w:ascii="Times New Roman" w:eastAsia="宋体" w:cs="Times New Roman" w:hAnsi="Times New Roman" w:hint="eastAsia"/>
          <w:color w:val="000000"/>
          <w:spacing w:val="0"/>
          <w:position w:val="0"/>
          <w:sz w:val="32"/>
          <w:shd w:val="clear" w:color="auto" w:fill="auto"/>
          <w:lang w:eastAsia="zh-CN"/>
        </w:rPr>
        <w:t>0万元。</w:t>
      </w:r>
    </w:p>
    <w:p>
      <w:pPr>
        <w:jc w:val="center"/>
        <w:outlineLvl w:val="0"/>
        <w:rPr>
          <w:rFonts w:ascii="仿宋_GB2312" w:eastAsia="仿宋_GB2312" w:cs="Times New Roman" w:hAnsi="黑体"/>
          <w:sz w:val="32"/>
          <w:szCs w:val="32"/>
        </w:rPr>
      </w:pPr>
      <w:r>
        <w:rPr>
          <w:rFonts w:ascii="方正小标宋_GBK" w:eastAsia="方正小标宋_GBK" w:cs="Times New Roman" w:hAnsi="Times New Roman" w:hint="eastAsia"/>
          <w:sz w:val="32"/>
          <w:szCs w:val="24"/>
        </w:rPr>
        <w:t>政府采购预算情况表</w:t>
      </w:r>
    </w:p>
    <w:tbl>
      <w:tblPr>
        <w:jc w:val="center"/>
        <w:tblW w:w="13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85"/>
        <w:gridCol w:w="800"/>
        <w:gridCol w:w="1095"/>
        <w:gridCol w:w="1155"/>
        <w:gridCol w:w="675"/>
        <w:gridCol w:w="649"/>
        <w:gridCol w:w="885"/>
        <w:gridCol w:w="855"/>
        <w:gridCol w:w="840"/>
        <w:gridCol w:w="1185"/>
        <w:gridCol w:w="1020"/>
        <w:gridCol w:w="990"/>
        <w:gridCol w:w="870"/>
        <w:gridCol w:w="825"/>
      </w:tblGrid>
      <w:tr>
        <w:trPr>
          <w:tblHeader/>
        </w:trPr>
        <w:tc>
          <w:tcPr>
            <w:tcW w:w="6844"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hint="eastAsia"/>
                <w:b/>
                <w:lang w:val="en-US" w:eastAsia="zh-CN"/>
              </w:rPr>
            </w:pPr>
            <w:r>
              <w:rPr>
                <w:rFonts w:ascii="方正书宋_GBK" w:eastAsia="方正书宋_GBK" w:hint="eastAsia"/>
                <w:b/>
                <w:lang w:val="en-US" w:eastAsia="zh-CN"/>
              </w:rPr>
              <w:t>225001中共深泽县委机构编制委员会办公室本级</w:t>
            </w:r>
          </w:p>
        </w:tc>
        <w:tc>
          <w:tcPr>
            <w:tcW w:w="6585"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b/>
              </w:rPr>
            </w:pPr>
            <w:r>
              <w:rPr>
                <w:rFonts w:ascii="方正书宋_GBK" w:eastAsia="方正书宋_GBK" w:hint="eastAsia"/>
                <w:b/>
              </w:rPr>
              <w:t>单位：万元</w:t>
            </w:r>
          </w:p>
        </w:tc>
      </w:tr>
      <w:tr>
        <w:trPr>
          <w:tblHeader/>
        </w:trPr>
        <w:tc>
          <w:tcPr>
            <w:tcW w:w="2385"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政府采购项目来源</w:t>
            </w:r>
          </w:p>
        </w:tc>
        <w:tc>
          <w:tcPr>
            <w:tcW w:w="109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采购物品名称</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w:t>
            </w:r>
          </w:p>
        </w:tc>
        <w:tc>
          <w:tcPr>
            <w:tcW w:w="67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p>
        </w:tc>
        <w:tc>
          <w:tcPr>
            <w:tcW w:w="8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单价</w:t>
            </w:r>
          </w:p>
        </w:tc>
        <w:tc>
          <w:tcPr>
            <w:tcW w:w="6585" w:type="dxa"/>
            <w:gridSpan w:val="7"/>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政府采购金额</w:t>
            </w:r>
          </w:p>
        </w:tc>
      </w:tr>
      <w:tr>
        <w:trPr>
          <w:tblHeader/>
        </w:trPr>
        <w:tc>
          <w:tcPr>
            <w:tcW w:w="158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800"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预算资金</w:t>
            </w: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总计</w:t>
            </w:r>
          </w:p>
        </w:tc>
        <w:tc>
          <w:tcPr>
            <w:tcW w:w="4905" w:type="dxa"/>
            <w:gridSpan w:val="5"/>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当年部门预算安排资金</w:t>
            </w:r>
          </w:p>
        </w:tc>
        <w:tc>
          <w:tcPr>
            <w:tcW w:w="82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其他渠道资金</w:t>
            </w:r>
          </w:p>
        </w:tc>
      </w:tr>
      <w:tr>
        <w:trPr>
          <w:tblHeader/>
        </w:trPr>
        <w:tc>
          <w:tcPr>
            <w:tcW w:w="1585" w:type="dxa"/>
            <w:vMerge/>
            <w:tcBorders>
              <w:top w:val="single" w:sz="6" w:space="0" w:color="000000"/>
              <w:left w:val="single" w:sz="6" w:space="0" w:color="000000"/>
              <w:bottom w:val="single" w:sz="6" w:space="0" w:color="000000"/>
              <w:right w:val="single" w:sz="6" w:space="0" w:color="000000"/>
            </w:tcBorders>
            <w:vAlign w:val="center"/>
          </w:tcPr>
          <w:p/>
        </w:tc>
        <w:tc>
          <w:tcPr>
            <w:tcW w:w="800" w:type="dxa"/>
            <w:vMerge/>
            <w:tcBorders>
              <w:top w:val="single" w:sz="6" w:space="0" w:color="000000"/>
              <w:left w:val="single" w:sz="6" w:space="0" w:color="000000"/>
              <w:bottom w:val="single" w:sz="6" w:space="0" w:color="000000"/>
              <w:right w:val="single" w:sz="6" w:space="0" w:color="000000"/>
            </w:tcBorders>
            <w:vAlign w:val="center"/>
          </w:tcPr>
          <w:p/>
        </w:tc>
        <w:tc>
          <w:tcPr>
            <w:tcW w:w="1095" w:type="dxa"/>
            <w:vMerge/>
            <w:tcBorders>
              <w:top w:val="single" w:sz="6" w:space="0" w:color="000000"/>
              <w:left w:val="single" w:sz="6" w:space="0" w:color="000000"/>
              <w:bottom w:val="single" w:sz="6" w:space="0" w:color="000000"/>
              <w:right w:val="single" w:sz="6" w:space="0" w:color="000000"/>
            </w:tcBorders>
            <w:vAlign w:val="center"/>
          </w:tcPr>
          <w:p/>
        </w:tc>
        <w:tc>
          <w:tcPr>
            <w:tcW w:w="1155" w:type="dxa"/>
            <w:vMerge/>
            <w:tcBorders>
              <w:top w:val="single" w:sz="6" w:space="0" w:color="000000"/>
              <w:left w:val="single" w:sz="6" w:space="0" w:color="000000"/>
              <w:bottom w:val="single" w:sz="6" w:space="0" w:color="000000"/>
              <w:right w:val="single" w:sz="6" w:space="0" w:color="000000"/>
            </w:tcBorders>
            <w:vAlign w:val="center"/>
          </w:tcPr>
          <w:p/>
        </w:tc>
        <w:tc>
          <w:tcPr>
            <w:tcW w:w="675" w:type="dxa"/>
            <w:vMerge/>
            <w:tcBorders>
              <w:top w:val="single" w:sz="6" w:space="0" w:color="000000"/>
              <w:left w:val="single" w:sz="6" w:space="0" w:color="000000"/>
              <w:bottom w:val="single" w:sz="6" w:space="0" w:color="000000"/>
              <w:right w:val="single" w:sz="6" w:space="0" w:color="000000"/>
            </w:tcBorders>
            <w:vAlign w:val="center"/>
          </w:tcPr>
          <w:p/>
        </w:tc>
        <w:tc>
          <w:tcPr>
            <w:tcW w:w="649" w:type="dxa"/>
            <w:vMerge/>
            <w:tcBorders>
              <w:top w:val="single" w:sz="6" w:space="0" w:color="000000"/>
              <w:left w:val="single" w:sz="6" w:space="0" w:color="000000"/>
              <w:bottom w:val="single" w:sz="6" w:space="0" w:color="000000"/>
              <w:right w:val="single" w:sz="6" w:space="0" w:color="000000"/>
            </w:tcBorders>
            <w:vAlign w:val="center"/>
          </w:tcPr>
          <w:p/>
        </w:tc>
        <w:tc>
          <w:tcPr>
            <w:tcW w:w="885" w:type="dxa"/>
            <w:vMerge/>
            <w:tcBorders>
              <w:top w:val="single" w:sz="6" w:space="0" w:color="000000"/>
              <w:left w:val="single" w:sz="6" w:space="0" w:color="000000"/>
              <w:bottom w:val="single" w:sz="6" w:space="0" w:color="000000"/>
              <w:right w:val="single" w:sz="6" w:space="0" w:color="000000"/>
            </w:tcBorders>
            <w:vAlign w:val="center"/>
          </w:tcPr>
          <w:p/>
        </w:tc>
        <w:tc>
          <w:tcPr>
            <w:tcW w:w="855" w:type="dxa"/>
            <w:vMerge/>
            <w:tcBorders>
              <w:top w:val="single" w:sz="6" w:space="0" w:color="000000"/>
              <w:left w:val="single" w:sz="6" w:space="0" w:color="000000"/>
              <w:bottom w:val="single" w:sz="6" w:space="0" w:color="000000"/>
              <w:right w:val="single" w:sz="6" w:space="0" w:color="000000"/>
            </w:tcBorders>
            <w:vAlign w:val="center"/>
          </w:tc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合计</w:t>
            </w: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一般公共预算拨款</w:t>
            </w: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基金预算拨款</w:t>
            </w: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财政专户核拨</w:t>
            </w: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其他来源收入</w:t>
            </w:r>
          </w:p>
        </w:tc>
        <w:tc>
          <w:tcPr>
            <w:tcW w:w="825" w:type="dxa"/>
            <w:vMerge/>
            <w:tcBorders>
              <w:top w:val="single" w:sz="6" w:space="0" w:color="000000"/>
              <w:left w:val="single" w:sz="6" w:space="0" w:color="000000"/>
              <w:bottom w:val="single" w:sz="6" w:space="0" w:color="000000"/>
              <w:right w:val="single" w:sz="6" w:space="0" w:color="000000"/>
            </w:tcBorders>
            <w:vAlign w:val="center"/>
          </w:tc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hint="eastAsia"/>
                <w:b/>
              </w:rPr>
            </w:pPr>
            <w:r>
              <w:rPr>
                <w:rFonts w:ascii="方正书宋_GBK" w:eastAsia="方正书宋_GBK" w:hint="eastAsia"/>
                <w:b/>
              </w:rPr>
              <w:t>无</w:t>
            </w: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hint="eastAsia"/>
                <w:b/>
              </w:rPr>
            </w:pPr>
          </w:p>
        </w:tc>
        <w:tc>
          <w:tcPr>
            <w:tcW w:w="1155" w:type="dxa"/>
            <w:tcBorders>
              <w:top w:val="single" w:sz="6" w:space="0" w:color="000000"/>
              <w:left w:val="single" w:sz="6" w:space="0" w:color="000000"/>
              <w:bottom w:val="single" w:sz="6" w:space="0" w:color="000000"/>
              <w:right w:val="single" w:sz="6" w:space="0" w:color="000000"/>
            </w:tcBorders>
            <w:vAlign w:val="center"/>
          </w:tcPr>
          <w:p>
            <w:pPr>
              <w:widowControl/>
              <w:jc w:val="left"/>
              <w:textAlignment w:val="center"/>
              <w:rPr>
                <w:rFonts w:ascii="方正书宋_GBK" w:eastAsia="方正书宋_GBK"/>
                <w:b/>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b/>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hint="eastAsia"/>
                <w:b/>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r>
        <w:tc>
          <w:tcPr>
            <w:tcW w:w="15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8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9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11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rPr>
            </w:pPr>
          </w:p>
        </w:tc>
        <w:tc>
          <w:tcPr>
            <w:tcW w:w="64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5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4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18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102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9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7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c>
          <w:tcPr>
            <w:tcW w:w="82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rPr>
            </w:pPr>
          </w:p>
        </w:tc>
      </w:tr>
    </w:tbl>
    <w:p>
      <w:pPr>
        <w:pStyle w:val="15"/>
        <w:ind w:firstLineChars="300" w:firstLine="630"/>
        <w:rPr>
          <w:rFonts w:eastAsia="宋体" w:hint="eastAsia"/>
          <w:lang w:eastAsia="zh-CN"/>
        </w:rPr>
      </w:pPr>
      <w:r>
        <w:rPr>
          <w:rFonts w:hint="eastAsia"/>
          <w:lang w:eastAsia="zh-CN"/>
        </w:rPr>
        <w:t>注；无政府采购预算，空表列示。</w:t>
      </w: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right="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right="0"/>
        <w:jc w:val="both"/>
        <w:rPr>
          <w:rFonts w:ascii="Times New Roman" w:eastAsia="宋体" w:cs="Times New Roman" w:hAnsi="Times New Roman" w:hint="eastAsia"/>
          <w:color w:val="000000"/>
          <w:spacing w:val="0"/>
          <w:position w:val="0"/>
          <w:sz w:val="32"/>
          <w:shd w:val="clear" w:color="auto" w:fill="auto"/>
          <w:lang w:eastAsia="zh-CN"/>
        </w:rPr>
      </w:pPr>
    </w:p>
    <w:p>
      <w:pPr>
        <w:spacing w:before="0" w:after="0" w:line="240" w:lineRule="auto"/>
        <w:ind w:left="0" w:right="0" w:firstLine="640"/>
        <w:jc w:val="left"/>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七、国有资产信息</w:t>
      </w:r>
    </w:p>
    <w:p>
      <w:pPr>
        <w:spacing w:before="0" w:after="0" w:line="240" w:lineRule="auto"/>
        <w:ind w:left="0" w:right="0" w:firstLine="640"/>
        <w:jc w:val="both"/>
        <w:rPr>
          <w:rFonts w:ascii="Times New Roman" w:eastAsia="Times New Roman" w:cs="Times New Roman" w:hAnsi="Times New Roman"/>
          <w:color w:val="000000"/>
          <w:spacing w:val="0"/>
          <w:position w:val="0"/>
          <w:sz w:val="32"/>
          <w:shd w:val="clear" w:color="auto" w:fill="auto"/>
        </w:rPr>
      </w:pPr>
      <w:r>
        <w:rPr>
          <w:rFonts w:ascii="Times New Roman" w:cs="Times New Roman" w:hAnsi="Times New Roman" w:hint="eastAsia"/>
          <w:color w:val="000000"/>
          <w:spacing w:val="0"/>
          <w:position w:val="0"/>
          <w:sz w:val="32"/>
          <w:shd w:val="clear" w:color="auto" w:fill="auto"/>
          <w:lang w:eastAsia="zh-CN"/>
        </w:rPr>
        <w:t>中共深泽县委机构编制委员会办公室</w:t>
      </w:r>
      <w:r>
        <w:rPr>
          <w:rFonts w:ascii="Times New Roman" w:cs="Times New Roman" w:hAnsi="Times New Roman" w:hint="eastAsia"/>
          <w:color w:val="000000"/>
          <w:spacing w:val="0"/>
          <w:position w:val="0"/>
          <w:sz w:val="32"/>
          <w:shd w:val="clear" w:color="auto" w:fill="auto"/>
          <w:lang w:val="en-US" w:eastAsia="zh-CN"/>
        </w:rPr>
        <w:t>2020</w:t>
      </w:r>
      <w:r>
        <w:rPr>
          <w:rFonts w:ascii="宋体" w:eastAsia="宋体" w:cs="宋体" w:hAnsi="宋体"/>
          <w:color w:val="000000"/>
          <w:spacing w:val="0"/>
          <w:position w:val="0"/>
          <w:sz w:val="32"/>
          <w:shd w:val="clear" w:color="auto" w:fill="auto"/>
        </w:rPr>
        <w:t>年末固定资产金额为</w:t>
      </w:r>
      <w:r>
        <w:rPr>
          <w:rFonts w:ascii="Times New Roman" w:cs="Times New Roman" w:hAnsi="Times New Roman" w:hint="eastAsia"/>
          <w:color w:val="000000"/>
          <w:spacing w:val="0"/>
          <w:position w:val="0"/>
          <w:sz w:val="32"/>
          <w:shd w:val="clear" w:color="auto" w:fill="auto"/>
          <w:lang w:val="en-US" w:eastAsia="zh-CN"/>
        </w:rPr>
        <w:t>5.77</w:t>
      </w:r>
      <w:r>
        <w:rPr>
          <w:rFonts w:ascii="宋体" w:eastAsia="宋体" w:cs="宋体" w:hAnsi="宋体"/>
          <w:color w:val="000000"/>
          <w:spacing w:val="0"/>
          <w:position w:val="0"/>
          <w:sz w:val="32"/>
          <w:shd w:val="clear" w:color="auto" w:fill="auto"/>
        </w:rPr>
        <w:t>万元</w:t>
      </w:r>
      <w:r>
        <w:rPr>
          <w:rFonts w:ascii="宋体" w:cs="宋体" w:hAnsi="宋体" w:hint="eastAsia"/>
          <w:color w:val="000000"/>
          <w:spacing w:val="0"/>
          <w:position w:val="0"/>
          <w:sz w:val="32"/>
          <w:shd w:val="clear" w:color="auto" w:fill="auto"/>
          <w:lang w:eastAsia="zh-CN"/>
        </w:rPr>
        <w:t>（详见下表），本年度拟购置固定资产</w:t>
      </w:r>
      <w:r>
        <w:rPr>
          <w:rFonts w:ascii="宋体" w:cs="宋体" w:hAnsi="宋体" w:hint="eastAsia"/>
          <w:color w:val="000000"/>
          <w:spacing w:val="0"/>
          <w:position w:val="0"/>
          <w:sz w:val="32"/>
          <w:shd w:val="clear" w:color="auto" w:fill="auto"/>
          <w:lang w:val="en-US" w:eastAsia="zh-CN"/>
        </w:rPr>
        <w:t>0万元</w:t>
      </w:r>
      <w:r>
        <w:rPr>
          <w:rFonts w:ascii="宋体" w:eastAsia="宋体" w:cs="宋体" w:hAnsi="宋体"/>
          <w:color w:val="000000"/>
          <w:spacing w:val="0"/>
          <w:position w:val="0"/>
          <w:sz w:val="32"/>
          <w:shd w:val="clear" w:color="auto" w:fill="auto"/>
        </w:rPr>
        <w:t>。</w:t>
      </w:r>
    </w:p>
    <w:p>
      <w:pPr>
        <w:spacing w:before="0" w:after="0" w:line="240" w:lineRule="auto"/>
        <w:ind w:right="0"/>
        <w:jc w:val="center"/>
        <w:rPr>
          <w:rFonts w:ascii="黑体" w:eastAsia="黑体" w:cs="黑体" w:hAnsi="黑体"/>
          <w:color w:val="auto"/>
          <w:spacing w:val="0"/>
          <w:position w:val="0"/>
          <w:sz w:val="32"/>
          <w:shd w:val="clear" w:color="auto" w:fill="auto"/>
        </w:rPr>
      </w:pPr>
      <w:r>
        <w:rPr>
          <w:rFonts w:ascii="宋体" w:cs="宋体" w:hAnsi="宋体" w:hint="eastAsia"/>
          <w:b/>
          <w:color w:val="auto"/>
          <w:spacing w:val="0"/>
          <w:position w:val="0"/>
          <w:sz w:val="32"/>
          <w:shd w:val="clear" w:color="auto" w:fill="auto"/>
          <w:lang w:eastAsia="zh-CN"/>
        </w:rPr>
        <w:t>中共深泽县委机构编制委员会办公室</w:t>
      </w:r>
      <w:r>
        <w:rPr>
          <w:rFonts w:ascii="宋体" w:eastAsia="宋体" w:cs="宋体" w:hAnsi="宋体"/>
          <w:b/>
          <w:color w:val="auto"/>
          <w:spacing w:val="0"/>
          <w:position w:val="0"/>
          <w:sz w:val="32"/>
          <w:shd w:val="clear" w:color="auto" w:fill="auto"/>
        </w:rPr>
        <w:t>固定资产占用情况表</w:t>
      </w:r>
    </w:p>
    <w:p>
      <w:pPr>
        <w:spacing w:before="0" w:after="0" w:line="240" w:lineRule="auto"/>
        <w:ind w:left="0" w:right="0" w:firstLine="640"/>
        <w:jc w:val="left"/>
        <w:rPr>
          <w:rFonts w:ascii="黑体" w:eastAsia="黑体" w:cs="黑体" w:hAnsi="黑体"/>
          <w:color w:val="auto"/>
          <w:spacing w:val="0"/>
          <w:position w:val="0"/>
          <w:sz w:val="32"/>
          <w:shd w:val="clear" w:color="auto" w:fill="auto"/>
        </w:rPr>
      </w:pPr>
      <w:r>
        <w:rPr>
          <w:rFonts w:ascii="宋体" w:eastAsia="宋体" w:cs="宋体" w:hAnsi="宋体"/>
          <w:color w:val="auto"/>
          <w:spacing w:val="0"/>
          <w:position w:val="0"/>
          <w:sz w:val="22"/>
          <w:shd w:val="clear" w:color="auto" w:fill="auto"/>
        </w:rPr>
        <w:t>编制部门：</w:t>
      </w:r>
      <w:r>
        <w:rPr>
          <w:rFonts w:ascii="宋体" w:eastAsia="宋体" w:cs="宋体" w:hAnsi="宋体" w:hint="eastAsia"/>
          <w:color w:val="auto"/>
          <w:spacing w:val="0"/>
          <w:position w:val="0"/>
          <w:sz w:val="22"/>
          <w:shd w:val="clear" w:color="auto" w:fill="auto"/>
          <w:lang w:eastAsia="zh-CN"/>
        </w:rPr>
        <w:t>中共深泽县委机构编制委员会办公室</w:t>
      </w:r>
      <w:r>
        <w:rPr>
          <w:rFonts w:ascii="宋体" w:cs="宋体" w:hAnsi="宋体" w:hint="eastAsia"/>
          <w:color w:val="auto"/>
          <w:spacing w:val="0"/>
          <w:position w:val="0"/>
          <w:sz w:val="22"/>
          <w:shd w:val="clear" w:color="auto" w:fill="auto"/>
          <w:lang w:val="en-US" w:eastAsia="zh-CN"/>
        </w:rPr>
        <w:t xml:space="preserve">                                               </w:t>
      </w:r>
      <w:r>
        <w:rPr>
          <w:rFonts w:ascii="宋体" w:eastAsia="宋体" w:cs="宋体" w:hAnsi="宋体"/>
          <w:color w:val="auto"/>
          <w:spacing w:val="0"/>
          <w:position w:val="0"/>
          <w:sz w:val="22"/>
          <w:shd w:val="clear" w:color="auto" w:fill="auto"/>
        </w:rPr>
        <w:t>截止时间：</w:t>
      </w:r>
      <w:r>
        <w:rPr>
          <w:rFonts w:ascii="Times New Roman" w:cs="Times New Roman" w:hAnsi="Times New Roman" w:hint="eastAsia"/>
          <w:color w:val="auto"/>
          <w:spacing w:val="0"/>
          <w:position w:val="0"/>
          <w:sz w:val="22"/>
          <w:shd w:val="clear" w:color="auto" w:fill="auto"/>
          <w:lang w:val="en-US" w:eastAsia="zh-CN"/>
        </w:rPr>
        <w:t>2020</w:t>
      </w:r>
      <w:r>
        <w:rPr>
          <w:rFonts w:ascii="宋体" w:eastAsia="宋体" w:cs="宋体" w:hAnsi="宋体"/>
          <w:color w:val="auto"/>
          <w:spacing w:val="0"/>
          <w:position w:val="0"/>
          <w:sz w:val="22"/>
          <w:shd w:val="clear" w:color="auto" w:fill="auto"/>
        </w:rPr>
        <w:t>年</w:t>
      </w:r>
      <w:r>
        <w:rPr>
          <w:rFonts w:ascii="Times New Roman" w:eastAsia="Times New Roman" w:cs="Times New Roman" w:hAnsi="Times New Roman"/>
          <w:color w:val="auto"/>
          <w:spacing w:val="0"/>
          <w:position w:val="0"/>
          <w:sz w:val="22"/>
          <w:shd w:val="clear" w:color="auto" w:fill="auto"/>
        </w:rPr>
        <w:t>12</w:t>
      </w:r>
      <w:r>
        <w:rPr>
          <w:rFonts w:ascii="宋体" w:eastAsia="宋体" w:cs="宋体" w:hAnsi="宋体"/>
          <w:color w:val="auto"/>
          <w:spacing w:val="0"/>
          <w:position w:val="0"/>
          <w:sz w:val="22"/>
          <w:shd w:val="clear" w:color="auto" w:fill="auto"/>
        </w:rPr>
        <w:t>月</w:t>
      </w:r>
      <w:r>
        <w:rPr>
          <w:rFonts w:ascii="Times New Roman" w:eastAsia="Times New Roman" w:cs="Times New Roman" w:hAnsi="Times New Roman"/>
          <w:color w:val="auto"/>
          <w:spacing w:val="0"/>
          <w:position w:val="0"/>
          <w:sz w:val="22"/>
          <w:shd w:val="clear" w:color="auto" w:fill="auto"/>
        </w:rPr>
        <w:t>31</w:t>
      </w:r>
      <w:r>
        <w:rPr>
          <w:rFonts w:ascii="宋体" w:eastAsia="宋体" w:cs="宋体" w:hAnsi="宋体"/>
          <w:color w:val="auto"/>
          <w:spacing w:val="0"/>
          <w:position w:val="0"/>
          <w:sz w:val="22"/>
          <w:shd w:val="clear" w:color="auto" w:fill="auto"/>
        </w:rPr>
        <w:t>日</w:t>
      </w:r>
    </w:p>
    <w:tbl>
      <w:tblPr>
        <w:tblpPr w:leftFromText="180" w:rightFromText="180" w:vertAnchor="text" w:horzAnchor="page" w:tblpX="1896" w:tblpY="222"/>
        <w:tblOverlap w:val="never"/>
        <w:tblW w:w="1352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983"/>
        <w:gridCol w:w="3144"/>
        <w:gridCol w:w="5393"/>
      </w:tblGrid>
      <w:tr>
        <w:trPr>
          <w:trHeight w:val="400"/>
        </w:trPr>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项目</w:t>
            </w:r>
          </w:p>
        </w:tc>
        <w:tc>
          <w:tcPr>
            <w:tcW w:w="3144"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数量</w:t>
            </w:r>
          </w:p>
        </w:tc>
        <w:tc>
          <w:tcPr>
            <w:tcW w:w="5393"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b/>
                <w:color w:val="auto"/>
                <w:spacing w:val="0"/>
                <w:position w:val="0"/>
                <w:sz w:val="22"/>
                <w:shd w:val="clear" w:color="auto" w:fill="auto"/>
              </w:rPr>
              <w:t>价值（金额单位：万元）</w:t>
            </w: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资产总额</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eastAsia="宋体"/>
                <w:spacing w:val="0"/>
                <w:position w:val="0"/>
                <w:sz w:val="22"/>
                <w:lang w:val="en-US" w:eastAsia="zh-CN"/>
              </w:rPr>
            </w:pPr>
            <w:r>
              <w:rPr>
                <w:rFonts w:hint="eastAsia"/>
                <w:spacing w:val="0"/>
                <w:position w:val="0"/>
                <w:sz w:val="22"/>
                <w:lang w:val="en-US" w:eastAsia="zh-CN"/>
              </w:rPr>
              <w:t>5.77</w:t>
            </w: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1</w:t>
            </w:r>
            <w:r>
              <w:rPr>
                <w:rFonts w:ascii="宋体" w:eastAsia="宋体" w:cs="宋体" w:hAnsi="宋体"/>
                <w:color w:val="auto"/>
                <w:spacing w:val="0"/>
                <w:position w:val="0"/>
                <w:sz w:val="22"/>
                <w:shd w:val="clear" w:color="auto" w:fill="auto"/>
              </w:rPr>
              <w:t>、房屋（平方米）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其中：办公用房（平方米）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2</w:t>
            </w:r>
            <w:r>
              <w:rPr>
                <w:rFonts w:ascii="宋体" w:eastAsia="宋体" w:cs="宋体" w:hAnsi="宋体"/>
                <w:color w:val="auto"/>
                <w:spacing w:val="0"/>
                <w:position w:val="0"/>
                <w:sz w:val="22"/>
                <w:shd w:val="clear" w:color="auto" w:fill="auto"/>
              </w:rPr>
              <w:t>、车辆（台、辆）</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shd w:val="clear" w:color="auto" w:fill="auto"/>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3</w:t>
            </w:r>
            <w:r>
              <w:rPr>
                <w:rFonts w:ascii="宋体" w:eastAsia="宋体" w:cs="宋体" w:hAnsi="宋体"/>
                <w:color w:val="auto"/>
                <w:spacing w:val="0"/>
                <w:position w:val="0"/>
                <w:sz w:val="22"/>
                <w:shd w:val="clear" w:color="auto" w:fill="auto"/>
              </w:rPr>
              <w:t>、单价在</w:t>
            </w:r>
            <w:r>
              <w:rPr>
                <w:rFonts w:ascii="Times New Roman" w:eastAsia="Times New Roman" w:cs="Times New Roman" w:hAnsi="Times New Roman"/>
                <w:color w:val="auto"/>
                <w:spacing w:val="0"/>
                <w:position w:val="0"/>
                <w:sz w:val="22"/>
                <w:shd w:val="clear" w:color="auto" w:fill="auto"/>
              </w:rPr>
              <w:t>20</w:t>
            </w:r>
            <w:r>
              <w:rPr>
                <w:rFonts w:ascii="宋体" w:eastAsia="宋体" w:cs="宋体" w:hAnsi="宋体"/>
                <w:color w:val="auto"/>
                <w:spacing w:val="0"/>
                <w:position w:val="0"/>
                <w:sz w:val="22"/>
                <w:shd w:val="clear" w:color="auto" w:fill="auto"/>
              </w:rPr>
              <w:t>万元以上设备</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color w:val="auto"/>
                <w:spacing w:val="0"/>
                <w:position w:val="0"/>
                <w:sz w:val="22"/>
              </w:rPr>
            </w:pPr>
          </w:p>
        </w:tc>
      </w:tr>
      <w:tr>
        <w:trPr>
          <w:trHeight w:val="491"/>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left"/>
              <w:rPr>
                <w:color w:val="auto"/>
                <w:spacing w:val="0"/>
                <w:position w:val="0"/>
                <w:sz w:val="22"/>
              </w:rPr>
            </w:pPr>
            <w:r>
              <w:rPr>
                <w:rFonts w:ascii="Times New Roman" w:eastAsia="Times New Roman" w:cs="Times New Roman" w:hAnsi="Times New Roman"/>
                <w:color w:val="auto"/>
                <w:spacing w:val="0"/>
                <w:position w:val="0"/>
                <w:sz w:val="22"/>
                <w:shd w:val="clear" w:color="auto" w:fill="auto"/>
              </w:rPr>
              <w:t>4</w:t>
            </w:r>
            <w:r>
              <w:rPr>
                <w:rFonts w:ascii="宋体" w:eastAsia="宋体" w:cs="宋体" w:hAnsi="宋体"/>
                <w:color w:val="auto"/>
                <w:spacing w:val="0"/>
                <w:position w:val="0"/>
                <w:sz w:val="22"/>
                <w:shd w:val="clear" w:color="auto" w:fill="auto"/>
              </w:rPr>
              <w:t>、其他固定资产</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ascii="宋体" w:eastAsia="宋体" w:cs="宋体" w:hAnsi="宋体"/>
                <w:color w:val="auto"/>
                <w:spacing w:val="0"/>
                <w:position w:val="0"/>
                <w:sz w:val="22"/>
              </w:rPr>
            </w:pPr>
            <w:r>
              <w:rPr>
                <w:rFonts w:ascii="宋体" w:eastAsia="宋体" w:cs="宋体" w:hAnsi="宋体"/>
                <w:color w:val="auto"/>
                <w:spacing w:val="0"/>
                <w:position w:val="0"/>
                <w:sz w:val="22"/>
                <w:shd w:val="clear" w:color="auto" w:fill="auto"/>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spacing w:before="0" w:after="0" w:line="240" w:lineRule="auto"/>
              <w:ind w:left="0" w:right="0" w:firstLine="0"/>
              <w:jc w:val="center"/>
              <w:rPr>
                <w:rFonts w:eastAsia="宋体" w:hint="eastAsia"/>
                <w:color w:val="auto"/>
                <w:spacing w:val="0"/>
                <w:position w:val="0"/>
                <w:sz w:val="22"/>
                <w:lang w:val="en-US" w:eastAsia="zh-CN"/>
              </w:rPr>
            </w:pPr>
            <w:r>
              <w:rPr>
                <w:rFonts w:ascii="Times New Roman" w:cs="Times New Roman" w:hAnsi="Times New Roman" w:hint="eastAsia"/>
                <w:color w:val="auto"/>
                <w:spacing w:val="0"/>
                <w:position w:val="0"/>
                <w:sz w:val="22"/>
                <w:shd w:val="clear" w:color="auto" w:fill="auto"/>
                <w:lang w:val="en-US" w:eastAsia="zh-CN"/>
              </w:rPr>
              <w:t>5.77</w:t>
            </w:r>
          </w:p>
        </w:tc>
      </w:tr>
    </w:tbl>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p>
    <w:p>
      <w:pPr>
        <w:numPr>
          <w:ilvl w:val="0"/>
          <w:numId w:val="1"/>
        </w:numPr>
        <w:spacing w:before="0" w:after="0" w:line="240" w:lineRule="auto"/>
        <w:ind w:left="0" w:right="0" w:firstLine="640"/>
        <w:jc w:val="both"/>
        <w:rPr>
          <w:rFonts w:ascii="黑体" w:eastAsia="黑体" w:cs="黑体" w:hAnsi="黑体"/>
          <w:color w:val="auto"/>
          <w:spacing w:val="0"/>
          <w:position w:val="0"/>
          <w:sz w:val="32"/>
          <w:shd w:val="clear" w:color="auto" w:fill="auto"/>
        </w:rPr>
      </w:pPr>
      <w:r>
        <w:rPr>
          <w:rFonts w:ascii="黑体" w:eastAsia="黑体" w:cs="黑体" w:hAnsi="黑体"/>
          <w:color w:val="auto"/>
          <w:spacing w:val="0"/>
          <w:position w:val="0"/>
          <w:sz w:val="32"/>
          <w:shd w:val="clear" w:color="auto" w:fill="auto"/>
        </w:rPr>
        <w:t>名词解释</w:t>
      </w:r>
    </w:p>
    <w:p>
      <w:pPr>
        <w:spacing w:before="0" w:after="0" w:line="240" w:lineRule="auto"/>
        <w:ind w:left="640" w:right="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w:t>
      </w:r>
      <w:r>
        <w:rPr>
          <w:rFonts w:ascii="宋体" w:eastAsia="宋体" w:cs="宋体" w:hAnsi="宋体"/>
          <w:color w:val="auto"/>
          <w:spacing w:val="0"/>
          <w:position w:val="0"/>
          <w:sz w:val="32"/>
          <w:shd w:val="clear" w:color="auto" w:fill="auto"/>
        </w:rPr>
        <w:t>、一般公共预算拨款收入：指</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级财政当年拨付的资金。</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2</w:t>
      </w:r>
      <w:r>
        <w:rPr>
          <w:rFonts w:ascii="宋体" w:eastAsia="宋体" w:cs="宋体" w:hAnsi="宋体"/>
          <w:color w:val="auto"/>
          <w:spacing w:val="0"/>
          <w:position w:val="0"/>
          <w:sz w:val="32"/>
          <w:shd w:val="clear" w:color="auto" w:fill="auto"/>
        </w:rPr>
        <w:t>、事业收入：指事业单位开展专业业务活动及辅助活动所取得的收入。</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3</w:t>
      </w:r>
      <w:r>
        <w:rPr>
          <w:rFonts w:ascii="宋体" w:eastAsia="宋体" w:cs="宋体" w:hAnsi="宋体"/>
          <w:color w:val="auto"/>
          <w:spacing w:val="0"/>
          <w:position w:val="0"/>
          <w:sz w:val="32"/>
          <w:shd w:val="clear" w:color="auto" w:fill="auto"/>
        </w:rPr>
        <w:t>、其他收入：指除“一般公共预算拨款收入”、“事业收入”等以外的收入。主要是按规定动用的租房收入、存款利息收入等。</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4</w:t>
      </w:r>
      <w:r>
        <w:rPr>
          <w:rFonts w:ascii="宋体" w:eastAsia="宋体" w:cs="宋体" w:hAnsi="宋体"/>
          <w:color w:val="auto"/>
          <w:spacing w:val="0"/>
          <w:position w:val="0"/>
          <w:sz w:val="32"/>
          <w:shd w:val="clear" w:color="auto" w:fill="auto"/>
        </w:rPr>
        <w:t>、基本支出：指为保障机构正常运转、完成日常工作任务而发生的人员支出和公用支出。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5</w:t>
      </w:r>
      <w:r>
        <w:rPr>
          <w:rFonts w:ascii="宋体" w:eastAsia="宋体" w:cs="宋体" w:hAnsi="宋体"/>
          <w:color w:val="auto"/>
          <w:spacing w:val="0"/>
          <w:position w:val="0"/>
          <w:sz w:val="32"/>
          <w:shd w:val="clear" w:color="auto" w:fill="auto"/>
        </w:rPr>
        <w:t>、项目支出：指在基本支出之外为完成特定行政任务和事业发展目标所发生的支出。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6</w:t>
      </w:r>
      <w:r>
        <w:rPr>
          <w:rFonts w:ascii="宋体" w:eastAsia="宋体" w:cs="宋体" w:hAnsi="宋体"/>
          <w:color w:val="auto"/>
          <w:spacing w:val="0"/>
          <w:position w:val="0"/>
          <w:sz w:val="32"/>
          <w:shd w:val="clear" w:color="auto" w:fill="auto"/>
        </w:rPr>
        <w:t>、上缴上级支出：指下级单位上缴上级的支出。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7</w:t>
      </w:r>
      <w:r>
        <w:rPr>
          <w:rFonts w:ascii="宋体" w:eastAsia="宋体" w:cs="宋体" w:hAnsi="宋体"/>
          <w:color w:val="auto"/>
          <w:spacing w:val="0"/>
          <w:position w:val="0"/>
          <w:sz w:val="32"/>
          <w:shd w:val="clear" w:color="auto" w:fill="auto"/>
        </w:rPr>
        <w:t>、“三公”经费：纳入</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级财政预算管理的“三公”经费，是指</w:t>
      </w:r>
      <w:r>
        <w:rPr>
          <w:rFonts w:ascii="宋体" w:eastAsia="宋体" w:cs="宋体" w:hAnsi="宋体"/>
          <w:color w:val="000000"/>
          <w:spacing w:val="0"/>
          <w:position w:val="0"/>
          <w:sz w:val="32"/>
          <w:shd w:val="clear" w:color="auto" w:fill="auto"/>
          <w14:textFill>
            <w14:solidFill>
              <w14:srgbClr w14:val="000000"/>
            </w14:solidFill>
          </w14:textFill>
        </w:rPr>
        <w:t>县</w:t>
      </w:r>
      <w:r>
        <w:rPr>
          <w:rFonts w:ascii="宋体" w:eastAsia="宋体" w:cs="宋体" w:hAnsi="宋体"/>
          <w:color w:val="auto"/>
          <w:spacing w:val="0"/>
          <w:position w:val="0"/>
          <w:sz w:val="32"/>
          <w:shd w:val="clear" w:color="auto" w:fill="auto"/>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8</w:t>
      </w:r>
      <w:r>
        <w:rPr>
          <w:rFonts w:ascii="宋体" w:eastAsia="宋体" w:cs="宋体" w:hAnsi="宋体"/>
          <w:color w:val="auto"/>
          <w:spacing w:val="0"/>
          <w:position w:val="0"/>
          <w:sz w:val="32"/>
          <w:shd w:val="clear" w:color="auto" w:fill="auto"/>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9</w:t>
      </w:r>
      <w:r>
        <w:rPr>
          <w:rFonts w:ascii="宋体" w:eastAsia="宋体" w:cs="宋体" w:hAnsi="宋体"/>
          <w:color w:val="auto"/>
          <w:spacing w:val="0"/>
          <w:position w:val="0"/>
          <w:sz w:val="32"/>
          <w:shd w:val="clear" w:color="auto" w:fill="auto"/>
        </w:rPr>
        <w:t>、上年结转：指以前年度尚未完成、结转到本年仍按原规定用途继续使用的资金。</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Times New Roman" w:eastAsia="Times New Roman" w:cs="Times New Roman" w:hAnsi="Times New Roman"/>
          <w:color w:val="auto"/>
          <w:spacing w:val="0"/>
          <w:position w:val="0"/>
          <w:sz w:val="32"/>
          <w:shd w:val="clear" w:color="auto" w:fill="auto"/>
        </w:rPr>
        <w:t>10</w:t>
      </w:r>
      <w:r>
        <w:rPr>
          <w:rFonts w:ascii="宋体" w:eastAsia="宋体" w:cs="宋体" w:hAnsi="宋体"/>
          <w:color w:val="auto"/>
          <w:spacing w:val="0"/>
          <w:position w:val="0"/>
          <w:sz w:val="32"/>
          <w:shd w:val="clear" w:color="auto" w:fill="auto"/>
        </w:rPr>
        <w:t>、事业单位经营支出：指事业单位在专业业务活动及其辅助活动之外开展非独立核算经营活动发生的支出。</w:t>
      </w:r>
    </w:p>
    <w:p>
      <w:pPr>
        <w:spacing w:before="0" w:after="0" w:line="240" w:lineRule="auto"/>
        <w:ind w:left="0" w:right="0" w:firstLine="643"/>
        <w:jc w:val="both"/>
        <w:rPr>
          <w:rFonts w:ascii="宋体-方正超大字符集" w:eastAsia="宋体-方正超大字符集" w:cs="宋体-方正超大字符集" w:hAnsi="宋体-方正超大字符集"/>
          <w:b/>
          <w:color w:val="auto"/>
          <w:spacing w:val="0"/>
          <w:position w:val="0"/>
          <w:sz w:val="32"/>
          <w:shd w:val="clear" w:color="auto" w:fill="auto"/>
        </w:rPr>
      </w:pPr>
      <w:r>
        <w:rPr>
          <w:rFonts w:ascii="宋体" w:eastAsia="宋体" w:cs="宋体" w:hAnsi="宋体"/>
          <w:b/>
          <w:color w:val="auto"/>
          <w:spacing w:val="0"/>
          <w:position w:val="0"/>
          <w:sz w:val="32"/>
          <w:shd w:val="clear" w:color="auto" w:fill="auto"/>
        </w:rPr>
        <w:t>九、其他需要说明的事项</w:t>
      </w:r>
    </w:p>
    <w:p>
      <w:pPr>
        <w:spacing w:before="0" w:after="0" w:line="240" w:lineRule="auto"/>
        <w:ind w:left="0" w:right="0" w:firstLine="640"/>
        <w:jc w:val="both"/>
        <w:rPr>
          <w:rFonts w:ascii="Times New Roman" w:eastAsia="Times New Roman" w:cs="Times New Roman" w:hAnsi="Times New Roman"/>
          <w:color w:val="auto"/>
          <w:spacing w:val="0"/>
          <w:position w:val="0"/>
          <w:sz w:val="32"/>
          <w:shd w:val="clear" w:color="auto" w:fill="auto"/>
        </w:rPr>
      </w:pPr>
      <w:r>
        <w:rPr>
          <w:rFonts w:ascii="宋体" w:eastAsia="宋体" w:cs="宋体" w:hAnsi="宋体"/>
          <w:color w:val="auto"/>
          <w:spacing w:val="0"/>
          <w:position w:val="0"/>
          <w:sz w:val="32"/>
          <w:shd w:val="clear" w:color="auto" w:fill="auto"/>
        </w:rPr>
        <w:t>我</w:t>
      </w:r>
      <w:r>
        <w:rPr>
          <w:rFonts w:ascii="宋体" w:cs="宋体" w:hAnsi="宋体" w:hint="eastAsia"/>
          <w:color w:val="auto"/>
          <w:spacing w:val="0"/>
          <w:position w:val="0"/>
          <w:sz w:val="32"/>
          <w:shd w:val="clear" w:color="auto" w:fill="auto"/>
          <w:lang w:eastAsia="zh-CN"/>
        </w:rPr>
        <w:t>单位没有安排政府基金预算财政拨款支出、没有国有资产经营预算财政拨款支出和预算财政拨款三公经费支出，特此证明</w:t>
      </w:r>
      <w:r>
        <w:rPr>
          <w:rFonts w:ascii="宋体" w:eastAsia="宋体" w:cs="宋体" w:hAnsi="宋体"/>
          <w:color w:val="auto"/>
          <w:spacing w:val="0"/>
          <w:position w:val="0"/>
          <w:sz w:val="32"/>
          <w:shd w:val="clear" w:color="auto" w:fill="auto"/>
        </w:rPr>
        <w:t>。</w:t>
      </w:r>
    </w:p>
    <w:p>
      <w:pPr>
        <w:ind w:firstLineChars="200" w:firstLine="640"/>
        <w:rPr>
          <w:rFonts w:ascii="Times New Roman" w:eastAsia="仿宋" w:cs="Times New Roman" w:hAnsi="Times New Roman"/>
          <w:sz w:val="32"/>
          <w:szCs w:val="32"/>
        </w:rPr>
      </w:pPr>
    </w:p>
    <w:p>
      <w:pPr>
        <w:rPr>
          <w:rFonts w:ascii="Calibri" w:eastAsia="宋体" w:cs="黑体" w:hAnsi="Calibri"/>
          <w:kern w:val="2"/>
          <w:sz w:val="21"/>
          <w:szCs w:val="22"/>
          <w:lang w:val="en-US" w:eastAsia="zh-CN" w:bidi="ar-SA"/>
        </w:rPr>
      </w:pPr>
    </w:p>
    <w:p>
      <w:pPr>
        <w:rPr>
          <w:lang w:val="en-US" w:eastAsia="zh-CN"/>
        </w:rPr>
      </w:pPr>
    </w:p>
    <w:p>
      <w:pPr>
        <w:rPr>
          <w:lang w:val="en-US" w:eastAsia="zh-CN"/>
        </w:rPr>
      </w:pPr>
    </w:p>
    <w:p>
      <w:pPr>
        <w:rPr>
          <w:lang w:val="en-US" w:eastAsia="zh-CN"/>
        </w:rPr>
      </w:pPr>
    </w:p>
    <w:p>
      <w:pPr>
        <w:rPr>
          <w:lang w:val="en-US" w:eastAsia="zh-CN"/>
        </w:rPr>
      </w:pPr>
    </w:p>
    <w:p>
      <w:pPr>
        <w:tabs>
          <w:tab w:val="left" w:pos="9499"/>
        </w:tabs>
        <w:jc w:val="left"/>
        <w:rPr>
          <w:lang w:val="en-US" w:eastAsia="zh-CN"/>
        </w:rPr>
      </w:pPr>
      <w:r>
        <w:rPr>
          <w:rFonts w:hint="eastAsia"/>
          <w:lang w:val="en-US" w:eastAsia="zh-CN"/>
        </w:rPr>
        <w:tab/>
      </w:r>
    </w:p>
    <w:sectPr>
      <w:pgSz w:w="16838" w:h="11906" w:orient="landscape"/>
      <w:pgMar w:top="1803" w:right="1440" w:bottom="1803" w:left="1440" w:header="720" w:footer="720" w:gutter="0"/>
      <w:rtlGutter/>
      <w:docGrid w:type="lines" w:linePitch="319"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3000509000000000000"/>
    <w:charset w:val="86"/>
    <w:family w:val="auto"/>
    <w:pitch w:val="variable"/>
    <w:sig w:usb0="00000001" w:usb1="080E0000" w:usb2="00000000" w:usb3="00000000" w:csb0="00040000" w:csb1="00000000"/>
  </w:font>
  <w:font w:name="方正小标宋_GBK">
    <w:altName w:val="微软雅黑"/>
    <w:panose1 w:val="03000509000000000000"/>
    <w:charset w:val="86"/>
    <w:family w:val="script"/>
    <w:pitch w:val="variable"/>
    <w:sig w:usb0="00000000" w:usb1="00000000" w:usb2="00000010" w:usb3="00000000" w:csb0="00040000" w:csb1="00000000"/>
  </w:font>
  <w:font w:name="Times New Roman">
    <w:panose1 w:val="02020603050405020304"/>
    <w:charset w:val="86"/>
    <w:family w:val="auto"/>
    <w:pitch w:val="variable"/>
    <w:sig w:usb0="E0002EFF" w:usb1="C000785B"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方正仿宋_GBK">
    <w:altName w:val="微软雅黑"/>
    <w:panose1 w:val="03000509000000000000"/>
    <w:charset w:val="86"/>
    <w:family w:val="script"/>
    <w:pitch w:val="variable"/>
    <w:sig w:usb0="00000000" w:usb1="00000000" w:usb2="00000010" w:usb3="00000000" w:csb0="00040000" w:csb1="00000000"/>
  </w:font>
  <w:font w:name="方正书宋_GBK">
    <w:altName w:val="微软雅黑"/>
    <w:panose1 w:val="03000509000000000000"/>
    <w:charset w:val="86"/>
    <w:family w:val="script"/>
    <w:pitch w:val="variable"/>
    <w:sig w:usb0="00000000" w:usb1="00000000" w:usb2="00000010" w:usb3="00000000" w:csb0="00040000" w:csb1="00000000"/>
  </w:font>
  <w:font w:name="Calibri">
    <w:panose1 w:val="020F0502020204030204"/>
    <w:charset w:val="00"/>
    <w:family w:val="swiss"/>
    <w:pitch w:val="variable"/>
    <w:sig w:usb0="E4002EFF" w:usb1="C000247B" w:usb2="00000009" w:usb3="00000000" w:csb0="200001FF" w:csb1="00000000"/>
  </w:font>
  <w:font w:name="仿宋_GB2312">
    <w:altName w:val="仿宋"/>
    <w:panose1 w:val="02010609030101010101"/>
    <w:charset w:val="86"/>
    <w:family w:val="modern"/>
    <w:pitch w:val="variable"/>
    <w:sig w:usb0="00000001" w:usb1="080E0000" w:usb2="00000000" w:usb3="00000000" w:csb0="00040000" w:csb1="00000000"/>
  </w:font>
  <w:font w:name="宋体-方正超大字符集">
    <w:altName w:val="宋体"/>
    <w:panose1 w:val="00000000000000000000"/>
    <w:charset w:val="86"/>
    <w:family w:val="auto"/>
    <w:pitch w:val="variable"/>
    <w:sig w:usb0="00000000" w:usb1="00000000" w:usb2="00000000" w:usb3="00000000" w:csb0="00040000"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outside" w:y="1" w:anchorLock="0"/>
      <w:tabs>
        <w:tab w:val="center" w:pos="4153"/>
        <w:tab w:val="right" w:pos="8306"/>
      </w:tabs>
      <w:rPr>
        <w:rStyle w:val="23"/>
      </w:rPr>
    </w:pPr>
    <w:r>
      <w:rPr>
        <w:rStyle w:val="23"/>
      </w:rPr>
      <w:fldChar w:fldCharType="begin"/>
    </w:r>
    <w:r>
      <w:rPr>
        <w:rStyle w:val="23"/>
      </w:rPr>
      <w:instrText xml:space="preserve">PAGE  </w:instrText>
    </w:r>
    <w:r>
      <w:fldChar w:fldCharType="separate"/>
    </w:r>
    <w:r>
      <w:rPr>
        <w:rStyle w:val="23"/>
      </w:rPr>
      <w:t>12</w:t>
    </w:r>
    <w:r>
      <w:fldChar w:fldCharType="end"/>
    </w:r>
  </w:p>
  <w:p>
    <w:pPr>
      <w:pStyle w:val="16"/>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FEB26BF"/>
    <w:multiLevelType w:val="singleLevel"/>
    <w:tmpl w:val="AFEB26BF"/>
    <w:lvl w:ilvl="0">
      <w:start w:val="8"/>
      <w:numFmt w:val="chineseCounting"/>
      <w:lvlRestart w:val="0"/>
      <w:suff w:val="nothing"/>
      <w:lvlText w:val="%1、"/>
      <w:lvlJc w:val="left"/>
      <w:pPr>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ocumentProtection w:edit="readOnly"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MmE5MTNiNjI1NzAxMjM3MGNjM2M1ZjRiMjMwOWI4MTA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rFonts w:ascii="Times New Roman"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8">
    <w:name w:val="toc 1"/>
    <w:basedOn w:val="0"/>
    <w:next w:val="0"/>
    <w:rPr>
      <w:rFonts w:ascii="Times New Roman" w:cs="Times New Roman" w:hAnsi="Times New Roman"/>
      <w:szCs w:val="24"/>
    </w:rPr>
  </w:style>
  <w:style w:type="paragraph" w:styleId="19">
    <w:name w:val="footnote text"/>
    <w:basedOn w:val="0"/>
    <w:pPr>
      <w:snapToGrid w:val="0"/>
      <w:jc w:val="left"/>
    </w:pPr>
    <w:rPr>
      <w:sz w:val="18"/>
      <w:szCs w:val="18"/>
    </w:rPr>
  </w:style>
  <w:style w:type="paragraph" w:styleId="20">
    <w:name w:val="toc 2"/>
    <w:basedOn w:val="0"/>
    <w:next w:val="0"/>
    <w:pPr>
      <w:ind w:leftChars="200" w:left="200"/>
    </w:pPr>
    <w:rPr>
      <w:rFonts w:ascii="Times New Roman" w:cs="Times New Roman" w:hAnsi="Times New Roman"/>
      <w:szCs w:val="24"/>
    </w:rPr>
  </w:style>
  <w:style w:type="character" w:styleId="21">
    <w:name w:val="footnote reference"/>
    <w:rPr>
      <w:vertAlign w:val="superscript"/>
    </w:rPr>
  </w:style>
  <w:style w:type="paragraph" w:customStyle="1" w:styleId="22">
    <w:name w:val="Char"/>
    <w:basedOn w:val="0"/>
    <w:rPr>
      <w:rFonts w:ascii="Times New Roman" w:cs="Times New Roman" w:hAnsi="Times New Roman"/>
      <w:szCs w:val="24"/>
    </w:rPr>
  </w:style>
  <w:style w:type="character" w:customStyle="1" w:styleId="23">
    <w:name w:val="页码1"/>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customProps>
</customData>
</file>

<file path=customXml/itemProps1.xml><?xml version="1.0" encoding="utf-8"?>
<ds:datastoreItem xmlns:ds="http://schemas.openxmlformats.org/officeDocument/2006/customXml" ds:itemID="{95E5D072-E826-420C-A031-70758953F2A5}">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6</TotalTime>
  <Application>Yozo_Office27021597764231179</Application>
  <Pages>10</Pages>
  <Words>0</Words>
  <Characters>3210</Characters>
  <Lines>0</Lines>
  <Paragraphs>91</Paragraphs>
  <CharactersWithSpaces>4281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o</dc:title>
  <dc:creator>guest</dc:creator>
  <cp:lastModifiedBy>Administrator</cp:lastModifiedBy>
  <cp:revision>6</cp:revision>
  <cp:lastPrinted>2020-02-21T07:43:00Z</cp:lastPrinted>
  <dcterms:created xsi:type="dcterms:W3CDTF">2017-01-23T17:29:00Z</dcterms:created>
  <dcterms:modified xsi:type="dcterms:W3CDTF">2023-11-06T02:20:14Z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41A7888448CC4678A76177BA23CA386B</vt:lpwstr>
  </property>
</Properties>
</file>